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95883" w14:textId="77777777" w:rsidR="00572FD5" w:rsidRPr="00D1145A" w:rsidRDefault="00F50AE1" w:rsidP="009150CB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114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31BEC" w:rsidRPr="00D1145A">
        <w:rPr>
          <w:rFonts w:asciiTheme="majorBidi" w:hAnsiTheme="majorBidi" w:cstheme="majorBidi"/>
          <w:b/>
          <w:bCs/>
          <w:sz w:val="24"/>
          <w:szCs w:val="24"/>
        </w:rPr>
        <w:t>Supporting Information</w:t>
      </w:r>
      <w:r w:rsidR="004E31D5" w:rsidRPr="00D1145A">
        <w:rPr>
          <w:rFonts w:asciiTheme="majorBidi" w:hAnsiTheme="majorBidi" w:cstheme="majorBidi"/>
          <w:b/>
          <w:bCs/>
          <w:sz w:val="24"/>
          <w:szCs w:val="24"/>
        </w:rPr>
        <w:t xml:space="preserve"> for</w:t>
      </w:r>
    </w:p>
    <w:p w14:paraId="56D57FCA" w14:textId="77777777" w:rsidR="00685A39" w:rsidRPr="00532EFA" w:rsidRDefault="00D05502" w:rsidP="006A611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32EFA">
        <w:rPr>
          <w:rFonts w:asciiTheme="majorBidi" w:hAnsiTheme="majorBidi" w:cstheme="majorBidi"/>
          <w:b/>
          <w:bCs/>
          <w:sz w:val="32"/>
          <w:szCs w:val="32"/>
        </w:rPr>
        <w:t>Confinement effect of blocks on morphology of composite particles in co-assembly of block copolymers/homopolymers</w:t>
      </w:r>
    </w:p>
    <w:p w14:paraId="57945F4B" w14:textId="77777777" w:rsidR="00572FD5" w:rsidRPr="00D1145A" w:rsidRDefault="00572FD5" w:rsidP="00F40F3C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  <w:r w:rsidRPr="00D1145A">
        <w:rPr>
          <w:rFonts w:asciiTheme="majorBidi" w:hAnsiTheme="majorBidi" w:cstheme="majorBidi"/>
          <w:bCs/>
          <w:iCs/>
          <w:sz w:val="24"/>
          <w:szCs w:val="24"/>
        </w:rPr>
        <w:t>Elmira Khaksar</w:t>
      </w:r>
      <w:r w:rsidRPr="00D1145A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 xml:space="preserve"> 1,2</w:t>
      </w:r>
      <w:r w:rsidRPr="00D1145A">
        <w:rPr>
          <w:rFonts w:asciiTheme="majorBidi" w:hAnsiTheme="majorBidi" w:cstheme="majorBidi"/>
          <w:sz w:val="24"/>
          <w:szCs w:val="24"/>
          <w:lang w:bidi="fa-IR"/>
        </w:rPr>
        <w:t>, Marzieh Golshan</w:t>
      </w:r>
      <w:r w:rsidRPr="00D1145A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1,2</w:t>
      </w:r>
      <w:r w:rsidRPr="00D1145A">
        <w:rPr>
          <w:rFonts w:asciiTheme="majorBidi" w:hAnsiTheme="majorBidi" w:cstheme="majorBidi"/>
          <w:sz w:val="24"/>
          <w:szCs w:val="24"/>
          <w:lang w:bidi="fa-IR"/>
        </w:rPr>
        <w:t>, Hossein Roghani-Mamaqani</w:t>
      </w:r>
      <w:r w:rsidR="00685A39" w:rsidRPr="00D1145A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1,2</w:t>
      </w:r>
      <w:r w:rsidR="00F40F3C" w:rsidRPr="00D1145A">
        <w:rPr>
          <w:rFonts w:asciiTheme="majorBidi" w:hAnsiTheme="majorBidi" w:cstheme="majorBidi"/>
          <w:sz w:val="24"/>
          <w:szCs w:val="24"/>
          <w:lang w:bidi="fa-IR"/>
        </w:rPr>
        <w:t>, Mehdi Salami-Kalajahi</w:t>
      </w:r>
      <w:r w:rsidR="00F40F3C" w:rsidRPr="00D1145A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1,2,</w:t>
      </w:r>
      <w:r w:rsidR="00F40F3C" w:rsidRPr="00D1145A">
        <w:rPr>
          <w:rFonts w:asciiTheme="majorBidi" w:hAnsiTheme="majorBidi" w:cstheme="majorBidi"/>
          <w:sz w:val="24"/>
          <w:szCs w:val="24"/>
          <w:lang w:bidi="fa-IR"/>
        </w:rPr>
        <w:t>*</w:t>
      </w:r>
    </w:p>
    <w:p w14:paraId="7218A433" w14:textId="77777777" w:rsidR="00572FD5" w:rsidRPr="00225529" w:rsidRDefault="00572FD5" w:rsidP="009150CB">
      <w:pPr>
        <w:spacing w:after="0" w:line="480" w:lineRule="auto"/>
        <w:jc w:val="center"/>
        <w:rPr>
          <w:rFonts w:asciiTheme="majorBidi" w:hAnsiTheme="majorBidi" w:cstheme="majorBidi"/>
          <w:sz w:val="18"/>
          <w:szCs w:val="18"/>
        </w:rPr>
      </w:pPr>
      <w:r w:rsidRPr="00225529">
        <w:rPr>
          <w:rFonts w:asciiTheme="majorBidi" w:hAnsiTheme="majorBidi" w:cstheme="majorBidi"/>
          <w:sz w:val="18"/>
          <w:szCs w:val="18"/>
          <w:vertAlign w:val="superscript"/>
        </w:rPr>
        <w:t>1</w:t>
      </w:r>
      <w:r w:rsidRPr="00225529">
        <w:rPr>
          <w:rFonts w:asciiTheme="majorBidi" w:hAnsiTheme="majorBidi" w:cstheme="majorBidi"/>
          <w:sz w:val="18"/>
          <w:szCs w:val="18"/>
        </w:rPr>
        <w:t xml:space="preserve"> Faculty of Polymer Engineering, Sahand University of Technology, P.O. Box 51335-1996, Tabriz, Iran</w:t>
      </w:r>
    </w:p>
    <w:p w14:paraId="36601E35" w14:textId="77777777" w:rsidR="00572FD5" w:rsidRPr="00225529" w:rsidRDefault="00572FD5" w:rsidP="009150CB">
      <w:pPr>
        <w:spacing w:after="0" w:line="480" w:lineRule="auto"/>
        <w:jc w:val="center"/>
        <w:rPr>
          <w:rFonts w:asciiTheme="majorBidi" w:hAnsiTheme="majorBidi" w:cstheme="majorBidi"/>
          <w:sz w:val="18"/>
          <w:szCs w:val="18"/>
        </w:rPr>
      </w:pPr>
      <w:r w:rsidRPr="00225529">
        <w:rPr>
          <w:rFonts w:asciiTheme="majorBidi" w:hAnsiTheme="majorBidi" w:cstheme="majorBidi"/>
          <w:sz w:val="18"/>
          <w:szCs w:val="18"/>
          <w:vertAlign w:val="superscript"/>
        </w:rPr>
        <w:t>2</w:t>
      </w:r>
      <w:r w:rsidRPr="00225529">
        <w:rPr>
          <w:rFonts w:asciiTheme="majorBidi" w:hAnsiTheme="majorBidi" w:cstheme="majorBidi"/>
          <w:sz w:val="18"/>
          <w:szCs w:val="18"/>
        </w:rPr>
        <w:t xml:space="preserve"> Institute of Polymeric Materials, Sahand University of Technology, P.O. Box 51335-1996, Tabriz, Iran</w:t>
      </w:r>
    </w:p>
    <w:p w14:paraId="20739D77" w14:textId="77777777" w:rsidR="00572FD5" w:rsidRPr="00225529" w:rsidRDefault="00572FD5" w:rsidP="009150CB">
      <w:pPr>
        <w:spacing w:after="0" w:line="480" w:lineRule="auto"/>
        <w:jc w:val="center"/>
        <w:rPr>
          <w:rFonts w:asciiTheme="majorBidi" w:hAnsiTheme="majorBidi" w:cstheme="majorBidi"/>
          <w:sz w:val="18"/>
          <w:szCs w:val="18"/>
        </w:rPr>
      </w:pPr>
      <w:r w:rsidRPr="00225529">
        <w:rPr>
          <w:rFonts w:asciiTheme="majorBidi" w:hAnsiTheme="majorBidi" w:cstheme="majorBidi"/>
          <w:sz w:val="18"/>
          <w:szCs w:val="18"/>
        </w:rPr>
        <w:t>* Correspondence concerning this article should be addressed to</w:t>
      </w:r>
    </w:p>
    <w:p w14:paraId="7740F15C" w14:textId="1234001B" w:rsidR="00DE46FA" w:rsidRPr="00D1145A" w:rsidRDefault="00572FD5" w:rsidP="00532EFA">
      <w:pPr>
        <w:spacing w:after="0" w:line="480" w:lineRule="auto"/>
        <w:jc w:val="center"/>
        <w:rPr>
          <w:rFonts w:asciiTheme="majorBidi" w:eastAsia="AdvOT999035f4" w:hAnsiTheme="majorBidi" w:cstheme="majorBidi"/>
          <w:b/>
          <w:bCs/>
          <w:noProof/>
          <w:position w:val="-4"/>
          <w:sz w:val="24"/>
          <w:szCs w:val="24"/>
          <w:rtl/>
        </w:rPr>
      </w:pPr>
      <w:r w:rsidRPr="00225529">
        <w:rPr>
          <w:rFonts w:asciiTheme="majorBidi" w:hAnsiTheme="majorBidi" w:cstheme="majorBidi"/>
          <w:sz w:val="18"/>
          <w:szCs w:val="18"/>
          <w:lang w:val="fr-CA"/>
        </w:rPr>
        <w:t>Mehdi Salami-Kalajahi : Email : m.salami@sut.ac.ir</w:t>
      </w:r>
    </w:p>
    <w:p w14:paraId="731E7D87" w14:textId="77777777" w:rsidR="00532EFA" w:rsidRDefault="00532EFA" w:rsidP="009150CB">
      <w:pPr>
        <w:pStyle w:val="Heading1INSFReport"/>
        <w:rPr>
          <w:rFonts w:asciiTheme="majorBidi" w:hAnsiTheme="majorBidi" w:cstheme="majorBidi"/>
          <w:sz w:val="22"/>
          <w:szCs w:val="22"/>
        </w:rPr>
      </w:pPr>
    </w:p>
    <w:p w14:paraId="0B7789FB" w14:textId="77777777" w:rsidR="00532EFA" w:rsidRDefault="00532EFA" w:rsidP="009150CB">
      <w:pPr>
        <w:pStyle w:val="Heading1INSFReport"/>
        <w:rPr>
          <w:rFonts w:asciiTheme="majorBidi" w:hAnsiTheme="majorBidi" w:cstheme="majorBidi"/>
          <w:sz w:val="22"/>
          <w:szCs w:val="22"/>
        </w:rPr>
      </w:pPr>
    </w:p>
    <w:p w14:paraId="6E5DAE45" w14:textId="77777777" w:rsidR="00532EFA" w:rsidRDefault="00532EFA" w:rsidP="009150CB">
      <w:pPr>
        <w:pStyle w:val="Heading1INSFReport"/>
        <w:rPr>
          <w:rFonts w:asciiTheme="majorBidi" w:hAnsiTheme="majorBidi" w:cstheme="majorBidi"/>
          <w:sz w:val="22"/>
          <w:szCs w:val="22"/>
        </w:rPr>
      </w:pPr>
    </w:p>
    <w:p w14:paraId="0807554A" w14:textId="77777777" w:rsidR="00532EFA" w:rsidRDefault="00532EFA" w:rsidP="009150CB">
      <w:pPr>
        <w:pStyle w:val="Heading1INSFReport"/>
        <w:rPr>
          <w:rFonts w:asciiTheme="majorBidi" w:hAnsiTheme="majorBidi" w:cstheme="majorBidi"/>
          <w:sz w:val="22"/>
          <w:szCs w:val="22"/>
        </w:rPr>
      </w:pPr>
    </w:p>
    <w:p w14:paraId="11785BF3" w14:textId="1AF36F73" w:rsidR="007307A7" w:rsidRPr="00225529" w:rsidRDefault="007307A7" w:rsidP="009150CB">
      <w:pPr>
        <w:pStyle w:val="Heading1INSFReport"/>
        <w:rPr>
          <w:rStyle w:val="fontstyle01"/>
          <w:rFonts w:asciiTheme="majorBidi" w:hAnsiTheme="majorBidi" w:cstheme="majorBidi"/>
          <w:color w:val="auto"/>
          <w:sz w:val="22"/>
          <w:szCs w:val="22"/>
        </w:rPr>
      </w:pPr>
      <w:r w:rsidRPr="00225529">
        <w:rPr>
          <w:rFonts w:asciiTheme="majorBidi" w:hAnsiTheme="majorBidi" w:cstheme="majorBidi"/>
          <w:sz w:val="22"/>
          <w:szCs w:val="22"/>
        </w:rPr>
        <w:t>S1. Materials</w:t>
      </w:r>
    </w:p>
    <w:p w14:paraId="516C20C4" w14:textId="77777777" w:rsidR="007B0435" w:rsidRPr="00225529" w:rsidRDefault="002E5889" w:rsidP="009150CB">
      <w:pPr>
        <w:spacing w:after="0" w:line="480" w:lineRule="auto"/>
        <w:jc w:val="both"/>
        <w:rPr>
          <w:rFonts w:asciiTheme="majorBidi" w:hAnsiTheme="majorBidi" w:cstheme="majorBidi"/>
          <w:b/>
          <w:bCs/>
          <w:shd w:val="clear" w:color="auto" w:fill="FFFFFF"/>
        </w:rPr>
      </w:pPr>
      <w:r w:rsidRPr="00225529">
        <w:rPr>
          <w:rFonts w:asciiTheme="majorBidi" w:hAnsiTheme="majorBidi" w:cstheme="majorBidi"/>
        </w:rPr>
        <w:t xml:space="preserve">Styrene and </w:t>
      </w:r>
      <w:r w:rsidR="00CD611D" w:rsidRPr="00225529">
        <w:rPr>
          <w:rFonts w:asciiTheme="majorBidi" w:hAnsiTheme="majorBidi" w:cstheme="majorBidi"/>
        </w:rPr>
        <w:t>m</w:t>
      </w:r>
      <w:r w:rsidRPr="00225529">
        <w:rPr>
          <w:rFonts w:asciiTheme="majorBidi" w:hAnsiTheme="majorBidi" w:cstheme="majorBidi"/>
        </w:rPr>
        <w:t xml:space="preserve">ethyl acrylate (St, </w:t>
      </w:r>
      <w:r w:rsidR="003D74F6" w:rsidRPr="00225529">
        <w:rPr>
          <w:rFonts w:asciiTheme="majorBidi" w:hAnsiTheme="majorBidi" w:cstheme="majorBidi"/>
        </w:rPr>
        <w:t xml:space="preserve">DaeJung, 99%, </w:t>
      </w:r>
      <w:r w:rsidRPr="00225529">
        <w:rPr>
          <w:rFonts w:asciiTheme="majorBidi" w:hAnsiTheme="majorBidi" w:cstheme="majorBidi"/>
        </w:rPr>
        <w:t>MA; Sigma-Aldrich, 99%) were passed through a basic alumina column to remove the polymeriz</w:t>
      </w:r>
      <w:r w:rsidR="006B32FD" w:rsidRPr="00225529">
        <w:rPr>
          <w:rFonts w:asciiTheme="majorBidi" w:hAnsiTheme="majorBidi" w:cstheme="majorBidi"/>
        </w:rPr>
        <w:t>ation inhibitor before use. 2,2'</w:t>
      </w:r>
      <w:r w:rsidRPr="00225529">
        <w:rPr>
          <w:rFonts w:asciiTheme="majorBidi" w:hAnsiTheme="majorBidi" w:cstheme="majorBidi"/>
        </w:rPr>
        <w:t xml:space="preserve">-Azobis(2-methylpropionitrile) (AIBN, Sigma-Aldrich ,99%) was recrystallized in cold methanol before use and dried at room temperature under vacuum. Tetrahydrofuran (THF, Merck, 99%) was dried by heating under reflux over sodium wire in presence of benzophenone as indicator and stored in the 3Å activated molecular sieves. </w:t>
      </w:r>
      <w:r w:rsidR="006B32FD" w:rsidRPr="00225529">
        <w:rPr>
          <w:rFonts w:asciiTheme="majorBidi" w:hAnsiTheme="majorBidi" w:cstheme="majorBidi"/>
        </w:rPr>
        <w:t>Methanol (Merck, 99.9%),</w:t>
      </w:r>
      <w:r w:rsidR="006B32FD" w:rsidRPr="00225529">
        <w:rPr>
          <w:rFonts w:asciiTheme="majorBidi" w:hAnsiTheme="majorBidi" w:cstheme="majorBidi"/>
          <w:shd w:val="clear" w:color="auto" w:fill="FFFFFF"/>
        </w:rPr>
        <w:t xml:space="preserve"> </w:t>
      </w:r>
      <w:r w:rsidRPr="00225529">
        <w:rPr>
          <w:rFonts w:asciiTheme="majorBidi" w:hAnsiTheme="majorBidi" w:cstheme="majorBidi"/>
        </w:rPr>
        <w:t>1-</w:t>
      </w:r>
      <w:r w:rsidR="006B32FD" w:rsidRPr="00225529">
        <w:rPr>
          <w:rFonts w:asciiTheme="majorBidi" w:hAnsiTheme="majorBidi" w:cstheme="majorBidi"/>
        </w:rPr>
        <w:t>d</w:t>
      </w:r>
      <w:r w:rsidRPr="00225529">
        <w:rPr>
          <w:rFonts w:asciiTheme="majorBidi" w:hAnsiTheme="majorBidi" w:cstheme="majorBidi"/>
        </w:rPr>
        <w:t xml:space="preserve">odecanethiol (Sigma-Aldrich, 98%), </w:t>
      </w:r>
      <w:r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carbon disulfide (CS</w:t>
      </w:r>
      <w:r w:rsidRPr="00225529">
        <w:rPr>
          <w:rStyle w:val="fontstyle01"/>
          <w:rFonts w:asciiTheme="majorBidi" w:hAnsiTheme="majorBidi" w:cstheme="majorBidi"/>
          <w:color w:val="auto"/>
          <w:sz w:val="22"/>
          <w:szCs w:val="22"/>
          <w:vertAlign w:val="subscript"/>
        </w:rPr>
        <w:t>2</w:t>
      </w:r>
      <w:r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 xml:space="preserve">, </w:t>
      </w:r>
      <w:r w:rsidRPr="00225529">
        <w:rPr>
          <w:rFonts w:asciiTheme="majorBidi" w:hAnsiTheme="majorBidi" w:cstheme="majorBidi"/>
        </w:rPr>
        <w:t>Sigma-Aldrich</w:t>
      </w:r>
      <w:r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, 99%)</w:t>
      </w:r>
      <w:r w:rsidRPr="00225529">
        <w:rPr>
          <w:rFonts w:asciiTheme="majorBidi" w:hAnsiTheme="majorBidi" w:cstheme="majorBidi"/>
        </w:rPr>
        <w:t xml:space="preserve">, sodium hydride (Sigma-Aldrich, 60% in oil), diethyl ether (Sigma-Aldrich, </w:t>
      </w:r>
      <w:r w:rsidR="00421C2D" w:rsidRPr="00225529">
        <w:rPr>
          <w:rFonts w:asciiTheme="majorBidi" w:hAnsiTheme="majorBidi" w:cstheme="majorBidi"/>
        </w:rPr>
        <w:t>99</w:t>
      </w:r>
      <w:r w:rsidRPr="00225529">
        <w:rPr>
          <w:rFonts w:asciiTheme="majorBidi" w:hAnsiTheme="majorBidi" w:cstheme="majorBidi"/>
        </w:rPr>
        <w:t xml:space="preserve">%), iodine (Sigma-Aldrich, </w:t>
      </w:r>
      <w:r w:rsidR="00421C2D" w:rsidRPr="00225529">
        <w:rPr>
          <w:rFonts w:asciiTheme="majorBidi" w:hAnsiTheme="majorBidi" w:cstheme="majorBidi"/>
        </w:rPr>
        <w:t>99.8</w:t>
      </w:r>
      <w:r w:rsidRPr="00225529">
        <w:rPr>
          <w:rFonts w:asciiTheme="majorBidi" w:hAnsiTheme="majorBidi" w:cstheme="majorBidi"/>
        </w:rPr>
        <w:t xml:space="preserve">%), sodium thiosulfate (Sigma-Aldrich, </w:t>
      </w:r>
      <w:r w:rsidR="00325C39" w:rsidRPr="00225529">
        <w:rPr>
          <w:rFonts w:asciiTheme="majorBidi" w:hAnsiTheme="majorBidi" w:cstheme="majorBidi"/>
        </w:rPr>
        <w:t>99.9</w:t>
      </w:r>
      <w:r w:rsidRPr="00225529">
        <w:rPr>
          <w:rFonts w:asciiTheme="majorBidi" w:hAnsiTheme="majorBidi" w:cstheme="majorBidi"/>
        </w:rPr>
        <w:t xml:space="preserve">%), ethyl acetate (Sigma-Aldrich, </w:t>
      </w:r>
      <w:r w:rsidR="00F168B2" w:rsidRPr="00225529">
        <w:rPr>
          <w:rFonts w:asciiTheme="majorBidi" w:hAnsiTheme="majorBidi" w:cstheme="majorBidi"/>
        </w:rPr>
        <w:t>99.8</w:t>
      </w:r>
      <w:r w:rsidRPr="00225529">
        <w:rPr>
          <w:rFonts w:asciiTheme="majorBidi" w:hAnsiTheme="majorBidi" w:cstheme="majorBidi"/>
        </w:rPr>
        <w:t xml:space="preserve">%), </w:t>
      </w:r>
      <w:r w:rsidRPr="00225529">
        <w:rPr>
          <w:rFonts w:asciiTheme="majorBidi" w:hAnsiTheme="majorBidi" w:cstheme="majorBidi"/>
          <w:i/>
          <w:iCs/>
        </w:rPr>
        <w:t>n</w:t>
      </w:r>
      <w:r w:rsidRPr="00225529">
        <w:rPr>
          <w:rFonts w:asciiTheme="majorBidi" w:hAnsiTheme="majorBidi" w:cstheme="majorBidi"/>
        </w:rPr>
        <w:t xml:space="preserve">-hexane (Sigma-Aldrich, </w:t>
      </w:r>
      <w:r w:rsidR="00325C39" w:rsidRPr="00225529">
        <w:rPr>
          <w:rFonts w:asciiTheme="majorBidi" w:hAnsiTheme="majorBidi" w:cstheme="majorBidi"/>
        </w:rPr>
        <w:t>99.8</w:t>
      </w:r>
      <w:r w:rsidRPr="00225529">
        <w:rPr>
          <w:rFonts w:asciiTheme="majorBidi" w:hAnsiTheme="majorBidi" w:cstheme="majorBidi"/>
        </w:rPr>
        <w:t>%), aluminum oxide (Al</w:t>
      </w:r>
      <w:r w:rsidRPr="00225529">
        <w:rPr>
          <w:rFonts w:asciiTheme="majorBidi" w:hAnsiTheme="majorBidi" w:cstheme="majorBidi"/>
          <w:vertAlign w:val="subscript"/>
        </w:rPr>
        <w:t>2</w:t>
      </w:r>
      <w:r w:rsidRPr="00225529">
        <w:rPr>
          <w:rFonts w:asciiTheme="majorBidi" w:hAnsiTheme="majorBidi" w:cstheme="majorBidi"/>
        </w:rPr>
        <w:t>O</w:t>
      </w:r>
      <w:r w:rsidRPr="00225529">
        <w:rPr>
          <w:rFonts w:asciiTheme="majorBidi" w:hAnsiTheme="majorBidi" w:cstheme="majorBidi"/>
          <w:vertAlign w:val="subscript"/>
        </w:rPr>
        <w:t>3</w:t>
      </w:r>
      <w:r w:rsidRPr="00225529">
        <w:rPr>
          <w:rFonts w:asciiTheme="majorBidi" w:hAnsiTheme="majorBidi" w:cstheme="majorBidi"/>
        </w:rPr>
        <w:t>, Merck), aniline (</w:t>
      </w:r>
      <w:r w:rsidRPr="00225529">
        <w:rPr>
          <w:rFonts w:asciiTheme="majorBidi" w:hAnsiTheme="majorBidi" w:cstheme="majorBidi"/>
          <w:shd w:val="clear" w:color="auto" w:fill="FFFFFF"/>
        </w:rPr>
        <w:t>ANI</w:t>
      </w:r>
      <w:r w:rsidR="00D06056" w:rsidRPr="00225529">
        <w:rPr>
          <w:rFonts w:asciiTheme="majorBidi" w:hAnsiTheme="majorBidi" w:cstheme="majorBidi"/>
          <w:shd w:val="clear" w:color="auto" w:fill="FFFFFF"/>
        </w:rPr>
        <w:t>,</w:t>
      </w:r>
      <w:r w:rsidR="00D06056" w:rsidRPr="00225529"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r w:rsidR="00D06056" w:rsidRPr="00225529">
        <w:rPr>
          <w:rFonts w:asciiTheme="majorBidi" w:hAnsiTheme="majorBidi" w:cstheme="majorBidi"/>
        </w:rPr>
        <w:t>CDH, 99.5%</w:t>
      </w:r>
      <w:r w:rsidRPr="00225529">
        <w:rPr>
          <w:rFonts w:asciiTheme="majorBidi" w:hAnsiTheme="majorBidi" w:cstheme="majorBidi"/>
          <w:shd w:val="clear" w:color="auto" w:fill="FFFFFF"/>
        </w:rPr>
        <w:t>)</w:t>
      </w:r>
      <w:r w:rsidR="00E44B3B" w:rsidRPr="00225529">
        <w:rPr>
          <w:rFonts w:asciiTheme="majorBidi" w:hAnsiTheme="majorBidi" w:cstheme="majorBidi"/>
          <w:shd w:val="clear" w:color="auto" w:fill="FFFFFF"/>
        </w:rPr>
        <w:t xml:space="preserve">, </w:t>
      </w:r>
      <w:r w:rsidR="006B32FD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a</w:t>
      </w:r>
      <w:r w:rsidR="00E44B3B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mmonium persulfate (APS</w:t>
      </w:r>
      <w:r w:rsidR="00006753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 xml:space="preserve">, </w:t>
      </w:r>
      <w:r w:rsidR="00006753" w:rsidRPr="00225529">
        <w:rPr>
          <w:rFonts w:asciiTheme="majorBidi" w:hAnsiTheme="majorBidi" w:cstheme="majorBidi"/>
        </w:rPr>
        <w:t>Sigma-Aldrich</w:t>
      </w:r>
      <w:r w:rsidR="00E44B3B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)</w:t>
      </w:r>
      <w:r w:rsidR="003D74F6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,</w:t>
      </w:r>
      <w:r w:rsidR="006B32FD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 xml:space="preserve"> and</w:t>
      </w:r>
      <w:r w:rsidR="003D74F6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="006B32FD" w:rsidRPr="00225529">
        <w:rPr>
          <w:rFonts w:asciiTheme="majorBidi" w:hAnsiTheme="majorBidi" w:cstheme="majorBidi"/>
          <w:i/>
          <w:iCs/>
        </w:rPr>
        <w:t>N</w:t>
      </w:r>
      <w:r w:rsidR="006B32FD" w:rsidRPr="00225529">
        <w:rPr>
          <w:rFonts w:asciiTheme="majorBidi" w:hAnsiTheme="majorBidi" w:cstheme="majorBidi"/>
        </w:rPr>
        <w:t>,</w:t>
      </w:r>
      <w:r w:rsidR="003D74F6" w:rsidRPr="00225529">
        <w:rPr>
          <w:rFonts w:asciiTheme="majorBidi" w:hAnsiTheme="majorBidi" w:cstheme="majorBidi"/>
          <w:i/>
          <w:iCs/>
        </w:rPr>
        <w:t>N</w:t>
      </w:r>
      <w:r w:rsidR="003D74F6" w:rsidRPr="00225529">
        <w:rPr>
          <w:rFonts w:asciiTheme="majorBidi" w:hAnsiTheme="majorBidi" w:cstheme="majorBidi"/>
        </w:rPr>
        <w:t>-dimethylformamide (DMF, DaeJung, 99.5%)</w:t>
      </w:r>
      <w:r w:rsidR="006B32FD" w:rsidRPr="00225529">
        <w:rPr>
          <w:rFonts w:asciiTheme="majorBidi" w:hAnsiTheme="majorBidi" w:cstheme="majorBidi"/>
        </w:rPr>
        <w:t xml:space="preserve"> were used as received</w:t>
      </w:r>
      <w:r w:rsidR="003D74F6" w:rsidRPr="00225529">
        <w:rPr>
          <w:rFonts w:asciiTheme="majorBidi" w:hAnsiTheme="majorBidi" w:cstheme="majorBidi"/>
        </w:rPr>
        <w:t>.</w:t>
      </w:r>
    </w:p>
    <w:p w14:paraId="3C31CE7A" w14:textId="77777777" w:rsidR="000A78E1" w:rsidRPr="00225529" w:rsidRDefault="000A78E1" w:rsidP="009150CB">
      <w:pPr>
        <w:spacing w:after="0" w:line="480" w:lineRule="auto"/>
        <w:jc w:val="both"/>
        <w:rPr>
          <w:rFonts w:asciiTheme="majorBidi" w:hAnsiTheme="majorBidi" w:cstheme="majorBidi"/>
          <w:b/>
          <w:bCs/>
          <w:shd w:val="clear" w:color="auto" w:fill="FFFFFF"/>
        </w:rPr>
      </w:pPr>
    </w:p>
    <w:p w14:paraId="5DCAFEE7" w14:textId="77777777" w:rsidR="007B0435" w:rsidRPr="00225529" w:rsidRDefault="000A78E1" w:rsidP="009150CB">
      <w:pPr>
        <w:pStyle w:val="Heading1INSFReport"/>
        <w:rPr>
          <w:rFonts w:asciiTheme="majorBidi" w:hAnsiTheme="majorBidi" w:cstheme="majorBidi"/>
          <w:sz w:val="22"/>
          <w:szCs w:val="22"/>
        </w:rPr>
      </w:pPr>
      <w:r w:rsidRPr="00225529">
        <w:rPr>
          <w:rFonts w:asciiTheme="majorBidi" w:hAnsiTheme="majorBidi" w:cstheme="majorBidi"/>
          <w:sz w:val="22"/>
          <w:szCs w:val="22"/>
        </w:rPr>
        <w:lastRenderedPageBreak/>
        <w:t>S2. Instrumentation</w:t>
      </w:r>
    </w:p>
    <w:p w14:paraId="4FA1C2ED" w14:textId="77777777" w:rsidR="00306920" w:rsidRPr="00225529" w:rsidRDefault="00323BCD" w:rsidP="009150CB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lang w:bidi="fa-IR"/>
        </w:rPr>
      </w:pPr>
      <w:r w:rsidRPr="00225529">
        <w:rPr>
          <w:rFonts w:asciiTheme="majorBidi" w:hAnsiTheme="majorBidi" w:cstheme="majorBidi"/>
          <w:vertAlign w:val="superscript"/>
          <w:lang w:bidi="fa-IR"/>
        </w:rPr>
        <w:t>1</w:t>
      </w:r>
      <w:r w:rsidRPr="00225529">
        <w:rPr>
          <w:rFonts w:asciiTheme="majorBidi" w:hAnsiTheme="majorBidi" w:cstheme="majorBidi"/>
          <w:lang w:bidi="fa-IR"/>
        </w:rPr>
        <w:t>H NMR (500 MHz) spectra were recorded on a Varian Unity Inova 500 MHz using deuterated chloroform (CDCl</w:t>
      </w:r>
      <w:r w:rsidRPr="00225529">
        <w:rPr>
          <w:rFonts w:asciiTheme="majorBidi" w:hAnsiTheme="majorBidi" w:cstheme="majorBidi"/>
          <w:vertAlign w:val="subscript"/>
          <w:lang w:bidi="fa-IR"/>
        </w:rPr>
        <w:t>3</w:t>
      </w:r>
      <w:r w:rsidRPr="00225529">
        <w:rPr>
          <w:rFonts w:asciiTheme="majorBidi" w:hAnsiTheme="majorBidi" w:cstheme="majorBidi"/>
          <w:lang w:bidi="fa-IR"/>
        </w:rPr>
        <w:t>) as solvent and tetramethylsilane (TMS) as an internal standard.</w:t>
      </w:r>
      <w:r w:rsidR="009D357B" w:rsidRPr="00225529">
        <w:rPr>
          <w:rFonts w:asciiTheme="majorBidi" w:hAnsiTheme="majorBidi" w:cstheme="majorBidi"/>
          <w:lang w:bidi="fa-IR"/>
        </w:rPr>
        <w:t xml:space="preserve"> </w:t>
      </w:r>
      <w:r w:rsidRPr="00225529">
        <w:rPr>
          <w:rFonts w:asciiTheme="majorBidi" w:hAnsiTheme="majorBidi" w:cstheme="majorBidi"/>
          <w:lang w:bidi="fa-IR"/>
        </w:rPr>
        <w:t>Gel permeation chromatography (GPC) was carried out using THF solvent at 30 °C and 1 mL/min flow rate by Shimadzu apparatus. The output solution was measured by the refractive index (RI). The device was calibrated using standard polystyrene with a molecular weight of 650 to 30,000 g.mol</w:t>
      </w:r>
      <w:r w:rsidRPr="00225529">
        <w:rPr>
          <w:rFonts w:asciiTheme="majorBidi" w:hAnsiTheme="majorBidi" w:cstheme="majorBidi"/>
          <w:vertAlign w:val="superscript"/>
          <w:lang w:bidi="fa-IR"/>
        </w:rPr>
        <w:t>−1</w:t>
      </w:r>
      <w:r w:rsidRPr="00225529">
        <w:rPr>
          <w:rFonts w:asciiTheme="majorBidi" w:hAnsiTheme="majorBidi" w:cstheme="majorBidi"/>
          <w:lang w:bidi="fa-IR"/>
        </w:rPr>
        <w:t>.</w:t>
      </w:r>
      <w:r w:rsidR="008F53AD" w:rsidRPr="00225529">
        <w:rPr>
          <w:rFonts w:asciiTheme="majorBidi" w:hAnsiTheme="majorBidi" w:cstheme="majorBidi"/>
          <w:lang w:bidi="fa-IR"/>
        </w:rPr>
        <w:t xml:space="preserve"> </w:t>
      </w:r>
      <w:r w:rsidRPr="00225529">
        <w:rPr>
          <w:rFonts w:asciiTheme="majorBidi" w:hAnsiTheme="majorBidi" w:cstheme="majorBidi"/>
          <w:lang w:bidi="fa-IR"/>
        </w:rPr>
        <w:t xml:space="preserve">The morphology of self-assembled </w:t>
      </w:r>
      <w:r w:rsidR="009150CB" w:rsidRPr="00225529">
        <w:rPr>
          <w:rFonts w:asciiTheme="majorBidi" w:hAnsiTheme="majorBidi" w:cstheme="majorBidi"/>
          <w:lang w:bidi="fa-IR"/>
        </w:rPr>
        <w:t>structures</w:t>
      </w:r>
      <w:r w:rsidR="00EC73B4" w:rsidRPr="00225529">
        <w:rPr>
          <w:rFonts w:asciiTheme="majorBidi" w:hAnsiTheme="majorBidi" w:cstheme="majorBidi"/>
          <w:lang w:bidi="fa-IR"/>
        </w:rPr>
        <w:t xml:space="preserve"> </w:t>
      </w:r>
      <w:r w:rsidR="009150CB" w:rsidRPr="00225529">
        <w:rPr>
          <w:rFonts w:asciiTheme="majorBidi" w:hAnsiTheme="majorBidi" w:cstheme="majorBidi"/>
          <w:lang w:bidi="fa-IR"/>
        </w:rPr>
        <w:t>was</w:t>
      </w:r>
      <w:r w:rsidR="002D4362" w:rsidRPr="00225529">
        <w:rPr>
          <w:rFonts w:asciiTheme="majorBidi" w:hAnsiTheme="majorBidi" w:cstheme="majorBidi"/>
          <w:lang w:bidi="fa-IR"/>
        </w:rPr>
        <w:t xml:space="preserve"> </w:t>
      </w:r>
      <w:r w:rsidRPr="00225529">
        <w:rPr>
          <w:rFonts w:asciiTheme="majorBidi" w:hAnsiTheme="majorBidi" w:cstheme="majorBidi"/>
          <w:lang w:bidi="fa-IR"/>
        </w:rPr>
        <w:t xml:space="preserve">observed by </w:t>
      </w:r>
      <w:r w:rsidR="009150CB" w:rsidRPr="00225529">
        <w:rPr>
          <w:rFonts w:asciiTheme="majorBidi" w:hAnsiTheme="majorBidi" w:cstheme="majorBidi"/>
          <w:lang w:bidi="fa-IR"/>
        </w:rPr>
        <w:t>MIRA3 TESCAN</w:t>
      </w:r>
      <w:r w:rsidRPr="00225529">
        <w:rPr>
          <w:rFonts w:asciiTheme="majorBidi" w:hAnsiTheme="majorBidi" w:cstheme="majorBidi"/>
          <w:lang w:bidi="fa-IR"/>
        </w:rPr>
        <w:t xml:space="preserve"> FE-SEM. The samples were freeze-dried and coated with gold before FE-SEM characterization.</w:t>
      </w:r>
      <w:r w:rsidR="00F330B4" w:rsidRPr="00225529">
        <w:rPr>
          <w:rFonts w:asciiTheme="majorBidi" w:hAnsiTheme="majorBidi" w:cstheme="majorBidi"/>
          <w:lang w:bidi="fa-IR"/>
        </w:rPr>
        <w:t xml:space="preserve"> </w:t>
      </w:r>
      <w:r w:rsidR="008F53AD" w:rsidRPr="00225529">
        <w:rPr>
          <w:rFonts w:asciiTheme="majorBidi" w:hAnsiTheme="majorBidi" w:cstheme="majorBidi"/>
        </w:rPr>
        <w:t>Fourier transform infrared (FT‐IR) spectroscopy was performed by means of a Bruker Tensor 27 FT‐IR spectrophotometer, in the range between 500 and 4000 cm</w:t>
      </w:r>
      <w:r w:rsidR="008F53AD" w:rsidRPr="00225529">
        <w:rPr>
          <w:rFonts w:asciiTheme="majorBidi" w:hAnsiTheme="majorBidi" w:cstheme="majorBidi"/>
          <w:vertAlign w:val="superscript"/>
        </w:rPr>
        <w:t>−1</w:t>
      </w:r>
      <w:r w:rsidR="008F53AD" w:rsidRPr="00225529">
        <w:rPr>
          <w:rFonts w:asciiTheme="majorBidi" w:hAnsiTheme="majorBidi" w:cstheme="majorBidi"/>
        </w:rPr>
        <w:t xml:space="preserve"> with a resolution of 4 cm</w:t>
      </w:r>
      <w:r w:rsidR="008F53AD" w:rsidRPr="00225529">
        <w:rPr>
          <w:rFonts w:asciiTheme="majorBidi" w:hAnsiTheme="majorBidi" w:cstheme="majorBidi"/>
          <w:vertAlign w:val="superscript"/>
        </w:rPr>
        <w:t>−1</w:t>
      </w:r>
      <w:r w:rsidR="008F53AD" w:rsidRPr="00225529">
        <w:rPr>
          <w:rFonts w:asciiTheme="majorBidi" w:hAnsiTheme="majorBidi" w:cstheme="majorBidi"/>
        </w:rPr>
        <w:t>.</w:t>
      </w:r>
      <w:r w:rsidR="00306920" w:rsidRPr="00225529">
        <w:rPr>
          <w:rFonts w:asciiTheme="majorBidi" w:hAnsiTheme="majorBidi" w:cstheme="majorBidi"/>
        </w:rPr>
        <w:t xml:space="preserve"> </w:t>
      </w:r>
      <w:r w:rsidR="00306920" w:rsidRPr="00225529">
        <w:rPr>
          <w:rFonts w:asciiTheme="majorBidi" w:hAnsiTheme="majorBidi" w:cstheme="majorBidi"/>
          <w:lang w:bidi="fa-IR"/>
        </w:rPr>
        <w:t xml:space="preserve">Size and size distribution of self-assembled </w:t>
      </w:r>
      <w:r w:rsidR="009249C0" w:rsidRPr="00225529">
        <w:rPr>
          <w:rFonts w:asciiTheme="majorBidi" w:hAnsiTheme="majorBidi" w:cstheme="majorBidi"/>
          <w:lang w:bidi="fa-IR"/>
        </w:rPr>
        <w:t>hydrophobic polymers</w:t>
      </w:r>
      <w:r w:rsidR="00306920" w:rsidRPr="00225529">
        <w:rPr>
          <w:rFonts w:asciiTheme="majorBidi" w:hAnsiTheme="majorBidi" w:cstheme="majorBidi"/>
          <w:lang w:bidi="fa-IR"/>
        </w:rPr>
        <w:t xml:space="preserve"> were measured by a DLS instrument (Malvern Nano Zetasizer ZS 90, UK) with a scattering angle of 176.1°.</w:t>
      </w:r>
    </w:p>
    <w:p w14:paraId="0BBFE43A" w14:textId="77777777" w:rsidR="00323BCD" w:rsidRPr="00225529" w:rsidRDefault="00323BCD" w:rsidP="009150CB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</w:rPr>
      </w:pPr>
    </w:p>
    <w:p w14:paraId="5BA34EA6" w14:textId="77777777" w:rsidR="00FF1C2F" w:rsidRPr="00225529" w:rsidRDefault="00FF1C2F" w:rsidP="009150CB">
      <w:pPr>
        <w:pStyle w:val="Heading1INSFReport"/>
        <w:rPr>
          <w:rFonts w:asciiTheme="majorBidi" w:hAnsiTheme="majorBidi" w:cstheme="majorBidi"/>
          <w:sz w:val="22"/>
          <w:szCs w:val="22"/>
        </w:rPr>
      </w:pPr>
      <w:r w:rsidRPr="00225529">
        <w:rPr>
          <w:rFonts w:asciiTheme="majorBidi" w:hAnsiTheme="majorBidi" w:cstheme="majorBidi"/>
          <w:sz w:val="22"/>
          <w:szCs w:val="22"/>
        </w:rPr>
        <w:t>S3. Synthesis of cyanomethyl dodecyl trithiocarbonate (CMDTTC)</w:t>
      </w:r>
    </w:p>
    <w:p w14:paraId="230D1E62" w14:textId="77777777" w:rsidR="00250C71" w:rsidRPr="00225529" w:rsidRDefault="00FB2C25" w:rsidP="0092444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</w:rPr>
      </w:pPr>
      <w:r w:rsidRPr="00225529">
        <w:rPr>
          <w:rFonts w:asciiTheme="majorBidi" w:hAnsiTheme="majorBidi" w:cstheme="majorBidi"/>
        </w:rPr>
        <w:t xml:space="preserve">Dodecane-1-thiol (7.69 g, 38 mmol) was added to a suspension of NaOH (60% </w:t>
      </w:r>
      <w:r w:rsidRPr="00225529">
        <w:rPr>
          <w:rFonts w:asciiTheme="majorBidi" w:hAnsiTheme="majorBidi" w:cstheme="majorBidi"/>
          <w:i/>
          <w:iCs/>
        </w:rPr>
        <w:t>wt</w:t>
      </w:r>
      <w:r w:rsidRPr="00225529">
        <w:rPr>
          <w:rFonts w:asciiTheme="majorBidi" w:hAnsiTheme="majorBidi" w:cstheme="majorBidi"/>
        </w:rPr>
        <w:t>.</w:t>
      </w:r>
      <w:r w:rsidR="007C1943" w:rsidRPr="00225529">
        <w:rPr>
          <w:rFonts w:asciiTheme="majorBidi" w:hAnsiTheme="majorBidi" w:cstheme="majorBidi"/>
        </w:rPr>
        <w:t xml:space="preserve"> </w:t>
      </w:r>
      <w:r w:rsidRPr="00225529">
        <w:rPr>
          <w:rFonts w:asciiTheme="majorBidi" w:hAnsiTheme="majorBidi" w:cstheme="majorBidi"/>
        </w:rPr>
        <w:t>% in oil, 1.575 g, 39</w:t>
      </w:r>
      <w:r w:rsidR="00924445" w:rsidRPr="00225529">
        <w:rPr>
          <w:rFonts w:asciiTheme="majorBidi" w:hAnsiTheme="majorBidi" w:cstheme="majorBidi"/>
        </w:rPr>
        <w:t>.4</w:t>
      </w:r>
      <w:r w:rsidR="007C1943" w:rsidRPr="00225529">
        <w:rPr>
          <w:rFonts w:asciiTheme="majorBidi" w:hAnsiTheme="majorBidi" w:cstheme="majorBidi"/>
        </w:rPr>
        <w:t xml:space="preserve"> </w:t>
      </w:r>
      <w:r w:rsidRPr="00225529">
        <w:rPr>
          <w:rFonts w:asciiTheme="majorBidi" w:hAnsiTheme="majorBidi" w:cstheme="majorBidi"/>
        </w:rPr>
        <w:t>mmol) in diethyl ether (75 mL) under</w:t>
      </w:r>
      <w:r w:rsidRPr="00225529">
        <w:rPr>
          <w:rFonts w:asciiTheme="majorBidi" w:hAnsiTheme="majorBidi" w:cstheme="majorBidi"/>
          <w:rtl/>
        </w:rPr>
        <w:t xml:space="preserve"> </w:t>
      </w:r>
      <w:r w:rsidRPr="00225529">
        <w:rPr>
          <w:rFonts w:asciiTheme="majorBidi" w:hAnsiTheme="majorBidi" w:cstheme="majorBidi"/>
        </w:rPr>
        <w:t>stirring in the ice water bath. A potent evolution of hydrogen gas was observed and the gray suspension was converted to thick white grout of sodium thiododecylate. Afterward</w:t>
      </w:r>
      <w:r w:rsidR="00134191" w:rsidRPr="00225529">
        <w:rPr>
          <w:rFonts w:asciiTheme="majorBidi" w:hAnsiTheme="majorBidi" w:cstheme="majorBidi"/>
        </w:rPr>
        <w:t>,</w:t>
      </w:r>
      <w:r w:rsidRPr="00225529">
        <w:rPr>
          <w:rFonts w:asciiTheme="majorBidi" w:hAnsiTheme="majorBidi" w:cstheme="majorBidi"/>
        </w:rPr>
        <w:t xml:space="preserve"> CS</w:t>
      </w:r>
      <w:r w:rsidRPr="00225529">
        <w:rPr>
          <w:rFonts w:asciiTheme="majorBidi" w:hAnsiTheme="majorBidi" w:cstheme="majorBidi"/>
          <w:vertAlign w:val="subscript"/>
        </w:rPr>
        <w:t>2</w:t>
      </w:r>
      <w:r w:rsidRPr="00225529">
        <w:rPr>
          <w:rFonts w:asciiTheme="majorBidi" w:hAnsiTheme="majorBidi" w:cstheme="majorBidi"/>
        </w:rPr>
        <w:t xml:space="preserve"> (3.0 g, 39.4 mmol) was added to the mixture </w:t>
      </w:r>
      <w:r w:rsidR="007C1943" w:rsidRPr="00225529">
        <w:rPr>
          <w:rFonts w:asciiTheme="majorBidi" w:hAnsiTheme="majorBidi" w:cstheme="majorBidi"/>
        </w:rPr>
        <w:t xml:space="preserve">and reaction was continued </w:t>
      </w:r>
      <w:r w:rsidRPr="00225529">
        <w:rPr>
          <w:rFonts w:asciiTheme="majorBidi" w:hAnsiTheme="majorBidi" w:cstheme="majorBidi"/>
        </w:rPr>
        <w:t xml:space="preserve">for 4 </w:t>
      </w:r>
      <w:r w:rsidR="007C1943" w:rsidRPr="00225529">
        <w:rPr>
          <w:rFonts w:asciiTheme="majorBidi" w:hAnsiTheme="majorBidi" w:cstheme="majorBidi"/>
        </w:rPr>
        <w:t>h</w:t>
      </w:r>
      <w:r w:rsidRPr="00225529">
        <w:rPr>
          <w:rFonts w:asciiTheme="majorBidi" w:hAnsiTheme="majorBidi" w:cstheme="majorBidi"/>
        </w:rPr>
        <w:t>. The resulting sodium dodecyl trithiocarbonate was collected by filtration and a yellow solid product was obtained. Then</w:t>
      </w:r>
      <w:r w:rsidR="00924445" w:rsidRPr="00225529">
        <w:rPr>
          <w:rFonts w:asciiTheme="majorBidi" w:hAnsiTheme="majorBidi" w:cstheme="majorBidi"/>
        </w:rPr>
        <w:t>,</w:t>
      </w:r>
      <w:r w:rsidRPr="00225529">
        <w:rPr>
          <w:rFonts w:asciiTheme="majorBidi" w:hAnsiTheme="majorBidi" w:cstheme="majorBidi"/>
        </w:rPr>
        <w:t xml:space="preserve"> iodine (4.82 g, </w:t>
      </w:r>
      <w:r w:rsidR="00924445" w:rsidRPr="00225529">
        <w:rPr>
          <w:rFonts w:asciiTheme="majorBidi" w:hAnsiTheme="majorBidi" w:cstheme="majorBidi"/>
        </w:rPr>
        <w:t>38</w:t>
      </w:r>
      <w:r w:rsidRPr="00225529">
        <w:rPr>
          <w:rFonts w:asciiTheme="majorBidi" w:hAnsiTheme="majorBidi" w:cstheme="majorBidi"/>
        </w:rPr>
        <w:t xml:space="preserve"> mmol) was added dropwise to suspension of sodium dodecyl trithiocarbonate in diethyl ether (75 mL). </w:t>
      </w:r>
      <w:r w:rsidR="00250C71" w:rsidRPr="00225529">
        <w:rPr>
          <w:rFonts w:asciiTheme="majorBidi" w:hAnsiTheme="majorBidi" w:cstheme="majorBidi"/>
        </w:rPr>
        <w:t xml:space="preserve">Afterward, mixture was stirred at room temperature for 2 h and white sodium iodide was removed by filtration. </w:t>
      </w:r>
      <w:r w:rsidR="00924445" w:rsidRPr="00225529">
        <w:rPr>
          <w:rFonts w:asciiTheme="majorBidi" w:hAnsiTheme="majorBidi" w:cstheme="majorBidi"/>
        </w:rPr>
        <w:t>Y</w:t>
      </w:r>
      <w:r w:rsidR="00250C71" w:rsidRPr="00225529">
        <w:rPr>
          <w:rFonts w:asciiTheme="majorBidi" w:hAnsiTheme="majorBidi" w:cstheme="majorBidi"/>
        </w:rPr>
        <w:t>ellow filtrate product was washed with aqueous sodium thiosulfate to remove excess iodine, then diethyl ether phase was dried over sodium thiosulfate and evaporated to leave a residue of bis(dodecylsulfanylthiocarbonyl) disulfide in qualitative yield. In the next step, AIBN (9.35 g, 56.9 mmol) was added to the solution of bis(dodecylsulfanylthiocarbonyl) disulfide in ethyl acetate (150</w:t>
      </w:r>
      <w:r w:rsidR="00147D99" w:rsidRPr="00225529">
        <w:rPr>
          <w:rFonts w:asciiTheme="majorBidi" w:hAnsiTheme="majorBidi" w:cstheme="majorBidi"/>
        </w:rPr>
        <w:t xml:space="preserve"> </w:t>
      </w:r>
      <w:r w:rsidR="00250C71" w:rsidRPr="00225529">
        <w:rPr>
          <w:rFonts w:asciiTheme="majorBidi" w:hAnsiTheme="majorBidi" w:cstheme="majorBidi"/>
        </w:rPr>
        <w:t xml:space="preserve">mL) and heated at reflux for 20 h. After removal of vaporizable in </w:t>
      </w:r>
      <w:r w:rsidR="00460355" w:rsidRPr="00225529">
        <w:rPr>
          <w:rStyle w:val="Emphasis"/>
          <w:rFonts w:asciiTheme="majorBidi" w:hAnsiTheme="majorBidi" w:cstheme="majorBidi"/>
          <w:i w:val="0"/>
          <w:iCs w:val="0"/>
          <w:shd w:val="clear" w:color="auto" w:fill="FFFFFF"/>
        </w:rPr>
        <w:t>vacuum</w:t>
      </w:r>
      <w:r w:rsidR="00250C71" w:rsidRPr="00225529">
        <w:rPr>
          <w:rFonts w:asciiTheme="majorBidi" w:hAnsiTheme="majorBidi" w:cstheme="majorBidi"/>
        </w:rPr>
        <w:t xml:space="preserve">, the final product was purified by flash column chromatography to obtain </w:t>
      </w:r>
      <w:r w:rsidR="001C4277" w:rsidRPr="00225529">
        <w:rPr>
          <w:rFonts w:asciiTheme="majorBidi" w:hAnsiTheme="majorBidi" w:cstheme="majorBidi"/>
        </w:rPr>
        <w:t>cyanomethyl dodecyl trithiocarbonate</w:t>
      </w:r>
      <w:r w:rsidR="00181801" w:rsidRPr="00225529">
        <w:rPr>
          <w:rFonts w:asciiTheme="majorBidi" w:hAnsiTheme="majorBidi" w:cstheme="majorBidi"/>
        </w:rPr>
        <w:t xml:space="preserve"> (CMDTTC)</w:t>
      </w:r>
      <w:r w:rsidR="001C4277" w:rsidRPr="00225529">
        <w:rPr>
          <w:rFonts w:asciiTheme="majorBidi" w:hAnsiTheme="majorBidi" w:cstheme="majorBidi"/>
          <w:b/>
          <w:bCs/>
        </w:rPr>
        <w:t xml:space="preserve"> </w:t>
      </w:r>
      <w:r w:rsidR="00250C71" w:rsidRPr="00225529">
        <w:rPr>
          <w:rFonts w:asciiTheme="majorBidi" w:hAnsiTheme="majorBidi" w:cstheme="majorBidi"/>
        </w:rPr>
        <w:t xml:space="preserve">as a pale-yellow oil </w:t>
      </w:r>
      <w:r w:rsidR="00250C71" w:rsidRPr="00225529">
        <w:rPr>
          <w:rFonts w:asciiTheme="majorBidi" w:hAnsiTheme="majorBidi" w:cstheme="majorBidi"/>
        </w:rPr>
        <w:lastRenderedPageBreak/>
        <w:t>(8.4</w:t>
      </w:r>
      <w:r w:rsidR="00924445" w:rsidRPr="00225529">
        <w:rPr>
          <w:rFonts w:asciiTheme="majorBidi" w:hAnsiTheme="majorBidi" w:cstheme="majorBidi"/>
        </w:rPr>
        <w:t xml:space="preserve"> </w:t>
      </w:r>
      <w:r w:rsidR="00250C71" w:rsidRPr="00225529">
        <w:rPr>
          <w:rFonts w:asciiTheme="majorBidi" w:hAnsiTheme="majorBidi" w:cstheme="majorBidi"/>
        </w:rPr>
        <w:t>g, 65% yield) [</w:t>
      </w:r>
      <w:r w:rsidR="007A7335" w:rsidRPr="00225529">
        <w:rPr>
          <w:rFonts w:asciiTheme="majorBidi" w:hAnsiTheme="majorBidi" w:cstheme="majorBidi"/>
        </w:rPr>
        <w:t>S</w:t>
      </w:r>
      <w:r w:rsidR="00250C71" w:rsidRPr="00225529">
        <w:rPr>
          <w:rFonts w:asciiTheme="majorBidi" w:hAnsiTheme="majorBidi" w:cstheme="majorBidi"/>
        </w:rPr>
        <w:t>1].</w:t>
      </w:r>
    </w:p>
    <w:p w14:paraId="4953548B" w14:textId="77777777" w:rsidR="00FB2C25" w:rsidRPr="00225529" w:rsidRDefault="00FB2C25" w:rsidP="009150C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</w:rPr>
      </w:pPr>
      <w:r w:rsidRPr="00225529">
        <w:rPr>
          <w:rFonts w:asciiTheme="majorBidi" w:hAnsiTheme="majorBidi" w:cstheme="majorBidi"/>
          <w:b/>
          <w:bCs/>
        </w:rPr>
        <w:t xml:space="preserve">FT-IR of </w:t>
      </w:r>
      <w:r w:rsidR="005104C4" w:rsidRPr="00225529">
        <w:rPr>
          <w:rFonts w:asciiTheme="majorBidi" w:hAnsiTheme="majorBidi" w:cstheme="majorBidi"/>
          <w:b/>
          <w:bCs/>
        </w:rPr>
        <w:t>CMDTTC</w:t>
      </w:r>
      <w:r w:rsidRPr="00225529">
        <w:rPr>
          <w:rFonts w:asciiTheme="majorBidi" w:hAnsiTheme="majorBidi" w:cstheme="majorBidi"/>
          <w:b/>
          <w:bCs/>
        </w:rPr>
        <w:t xml:space="preserve"> (KBr, cm</w:t>
      </w:r>
      <w:r w:rsidRPr="00225529">
        <w:rPr>
          <w:rFonts w:asciiTheme="majorBidi" w:hAnsiTheme="majorBidi" w:cstheme="majorBidi"/>
          <w:b/>
          <w:bCs/>
          <w:vertAlign w:val="superscript"/>
        </w:rPr>
        <w:t>-1</w:t>
      </w:r>
      <w:r w:rsidRPr="00225529">
        <w:rPr>
          <w:rFonts w:asciiTheme="majorBidi" w:hAnsiTheme="majorBidi" w:cstheme="majorBidi"/>
          <w:b/>
          <w:bCs/>
        </w:rPr>
        <w:t xml:space="preserve">, Figure S1): </w:t>
      </w:r>
      <w:r w:rsidRPr="00225529">
        <w:rPr>
          <w:rFonts w:asciiTheme="majorBidi" w:hAnsiTheme="majorBidi" w:cstheme="majorBidi"/>
        </w:rPr>
        <w:t>(</w:t>
      </w:r>
      <w:r w:rsidR="00BA4E41" w:rsidRPr="00225529">
        <w:rPr>
          <w:rFonts w:asciiTheme="majorBidi" w:hAnsiTheme="majorBidi" w:cstheme="majorBidi"/>
        </w:rPr>
        <w:t>2250</w:t>
      </w:r>
      <w:r w:rsidRPr="00225529">
        <w:rPr>
          <w:rFonts w:asciiTheme="majorBidi" w:hAnsiTheme="majorBidi" w:cstheme="majorBidi"/>
        </w:rPr>
        <w:t xml:space="preserve"> str. </w:t>
      </w:r>
      <w:r w:rsidR="00BA4E41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(</w:t>
      </w:r>
      <w:r w:rsidR="00BA4E41" w:rsidRPr="00225529">
        <w:rPr>
          <w:rStyle w:val="fontstyle01"/>
          <w:rFonts w:asciiTheme="majorBidi" w:hAnsiTheme="majorBidi" w:cstheme="majorBidi"/>
          <w:b/>
          <w:bCs/>
          <w:color w:val="auto"/>
          <w:sz w:val="22"/>
          <w:szCs w:val="22"/>
        </w:rPr>
        <w:t>CN</w:t>
      </w:r>
      <w:r w:rsidR="00BA4E41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)C</w:t>
      </w:r>
      <w:r w:rsidR="00BA4E41" w:rsidRPr="00225529">
        <w:rPr>
          <w:rStyle w:val="fontstyle31"/>
          <w:rFonts w:asciiTheme="majorBidi" w:hAnsiTheme="majorBidi" w:cstheme="majorBidi"/>
          <w:b w:val="0"/>
          <w:bCs w:val="0"/>
          <w:color w:val="auto"/>
          <w:sz w:val="22"/>
          <w:szCs w:val="22"/>
        </w:rPr>
        <w:t>H</w:t>
      </w:r>
      <w:r w:rsidR="00BA4E41" w:rsidRPr="00225529">
        <w:rPr>
          <w:rStyle w:val="fontstyle01"/>
          <w:rFonts w:asciiTheme="majorBidi" w:hAnsiTheme="majorBidi" w:cstheme="majorBidi"/>
          <w:color w:val="auto"/>
          <w:sz w:val="22"/>
          <w:szCs w:val="22"/>
          <w:vertAlign w:val="subscript"/>
        </w:rPr>
        <w:t>2</w:t>
      </w:r>
      <w:r w:rsidR="00BA4E41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S</w:t>
      </w:r>
      <w:r w:rsidRPr="00225529">
        <w:rPr>
          <w:rFonts w:asciiTheme="majorBidi" w:hAnsiTheme="majorBidi" w:cstheme="majorBidi"/>
        </w:rPr>
        <w:t>), (2</w:t>
      </w:r>
      <w:r w:rsidR="00BA4E41" w:rsidRPr="00225529">
        <w:rPr>
          <w:rFonts w:asciiTheme="majorBidi" w:hAnsiTheme="majorBidi" w:cstheme="majorBidi"/>
        </w:rPr>
        <w:t>850</w:t>
      </w:r>
      <w:r w:rsidRPr="00225529">
        <w:rPr>
          <w:rFonts w:asciiTheme="majorBidi" w:hAnsiTheme="majorBidi" w:cstheme="majorBidi"/>
        </w:rPr>
        <w:t xml:space="preserve">, </w:t>
      </w:r>
      <w:r w:rsidR="00BA4E41" w:rsidRPr="00225529">
        <w:rPr>
          <w:rFonts w:asciiTheme="majorBidi" w:hAnsiTheme="majorBidi" w:cstheme="majorBidi"/>
        </w:rPr>
        <w:t>3000</w:t>
      </w:r>
      <w:r w:rsidRPr="00225529">
        <w:rPr>
          <w:rFonts w:asciiTheme="majorBidi" w:hAnsiTheme="majorBidi" w:cstheme="majorBidi"/>
        </w:rPr>
        <w:t xml:space="preserve"> assym. str. </w:t>
      </w:r>
      <w:r w:rsidRPr="00225529">
        <w:rPr>
          <w:rFonts w:asciiTheme="majorBidi" w:hAnsiTheme="majorBidi" w:cstheme="majorBidi"/>
          <w:b/>
          <w:bCs/>
        </w:rPr>
        <w:t>CH</w:t>
      </w:r>
      <w:r w:rsidRPr="00225529">
        <w:rPr>
          <w:rFonts w:asciiTheme="majorBidi" w:hAnsiTheme="majorBidi" w:cstheme="majorBidi"/>
          <w:b/>
          <w:bCs/>
          <w:vertAlign w:val="subscript"/>
        </w:rPr>
        <w:t>3</w:t>
      </w:r>
      <w:r w:rsidRPr="00225529">
        <w:rPr>
          <w:rFonts w:asciiTheme="majorBidi" w:hAnsiTheme="majorBidi" w:cstheme="majorBidi"/>
        </w:rPr>
        <w:t xml:space="preserve">, </w:t>
      </w:r>
      <w:r w:rsidRPr="00225529">
        <w:rPr>
          <w:rFonts w:asciiTheme="majorBidi" w:hAnsiTheme="majorBidi" w:cstheme="majorBidi"/>
          <w:b/>
          <w:bCs/>
        </w:rPr>
        <w:t>CH</w:t>
      </w:r>
      <w:r w:rsidRPr="00225529">
        <w:rPr>
          <w:rFonts w:asciiTheme="majorBidi" w:hAnsiTheme="majorBidi" w:cstheme="majorBidi"/>
          <w:b/>
          <w:bCs/>
          <w:vertAlign w:val="subscript"/>
        </w:rPr>
        <w:t>2</w:t>
      </w:r>
      <w:r w:rsidR="00576764" w:rsidRPr="00225529">
        <w:rPr>
          <w:rFonts w:asciiTheme="majorBidi" w:hAnsiTheme="majorBidi" w:cstheme="majorBidi"/>
        </w:rPr>
        <w:t>)</w:t>
      </w:r>
      <w:r w:rsidR="005E7724" w:rsidRPr="00225529">
        <w:rPr>
          <w:rFonts w:asciiTheme="majorBidi" w:hAnsiTheme="majorBidi" w:cstheme="majorBidi"/>
        </w:rPr>
        <w:t>.</w:t>
      </w:r>
    </w:p>
    <w:p w14:paraId="1CDF2227" w14:textId="77777777" w:rsidR="001370BA" w:rsidRPr="00225529" w:rsidRDefault="00FB2C25" w:rsidP="009150CB">
      <w:pPr>
        <w:pStyle w:val="14"/>
        <w:bidi w:val="0"/>
        <w:spacing w:after="0" w:line="480" w:lineRule="auto"/>
        <w:ind w:firstLine="0"/>
        <w:jc w:val="both"/>
        <w:rPr>
          <w:rFonts w:asciiTheme="majorBidi" w:hAnsiTheme="majorBidi" w:cstheme="majorBidi"/>
          <w:sz w:val="22"/>
          <w:szCs w:val="22"/>
        </w:rPr>
      </w:pPr>
      <w:r w:rsidRPr="00225529">
        <w:rPr>
          <w:rFonts w:asciiTheme="majorBidi" w:hAnsiTheme="majorBidi" w:cstheme="majorBidi"/>
          <w:b/>
          <w:bCs/>
          <w:sz w:val="22"/>
          <w:szCs w:val="22"/>
          <w:vertAlign w:val="superscript"/>
        </w:rPr>
        <w:t>1</w:t>
      </w:r>
      <w:r w:rsidRPr="00225529">
        <w:rPr>
          <w:rFonts w:asciiTheme="majorBidi" w:hAnsiTheme="majorBidi" w:cstheme="majorBidi"/>
          <w:b/>
          <w:bCs/>
          <w:sz w:val="22"/>
          <w:szCs w:val="22"/>
        </w:rPr>
        <w:t xml:space="preserve">H NMR of </w:t>
      </w:r>
      <w:r w:rsidR="005104C4" w:rsidRPr="00225529">
        <w:rPr>
          <w:rFonts w:asciiTheme="majorBidi" w:hAnsiTheme="majorBidi" w:cstheme="majorBidi"/>
          <w:b/>
          <w:bCs/>
          <w:sz w:val="22"/>
          <w:szCs w:val="22"/>
        </w:rPr>
        <w:t>CMDTTC</w:t>
      </w:r>
      <w:r w:rsidRPr="00225529">
        <w:rPr>
          <w:rFonts w:asciiTheme="majorBidi" w:eastAsia="MS Gothic" w:hAnsiTheme="majorBidi" w:cstheme="majorBidi"/>
          <w:sz w:val="22"/>
          <w:szCs w:val="22"/>
        </w:rPr>
        <w:t xml:space="preserve"> </w:t>
      </w:r>
      <w:r w:rsidRPr="00225529">
        <w:rPr>
          <w:rFonts w:asciiTheme="majorBidi" w:hAnsiTheme="majorBidi" w:cstheme="majorBidi"/>
          <w:b/>
          <w:bCs/>
          <w:sz w:val="22"/>
          <w:szCs w:val="22"/>
        </w:rPr>
        <w:t>(500 MHz, CDCl</w:t>
      </w:r>
      <w:r w:rsidRPr="00225529">
        <w:rPr>
          <w:rFonts w:asciiTheme="majorBidi" w:hAnsiTheme="majorBidi" w:cstheme="majorBidi"/>
          <w:b/>
          <w:bCs/>
          <w:sz w:val="22"/>
          <w:szCs w:val="22"/>
          <w:vertAlign w:val="subscript"/>
        </w:rPr>
        <w:t>3</w:t>
      </w:r>
      <w:r w:rsidRPr="00225529">
        <w:rPr>
          <w:rFonts w:asciiTheme="majorBidi" w:hAnsiTheme="majorBidi" w:cstheme="majorBidi"/>
          <w:b/>
          <w:bCs/>
          <w:sz w:val="22"/>
          <w:szCs w:val="22"/>
        </w:rPr>
        <w:t>, δ/ppm, Figure S2):</w:t>
      </w:r>
      <w:r w:rsidRPr="00225529">
        <w:rPr>
          <w:rFonts w:asciiTheme="majorBidi" w:eastAsia="MS Gothic" w:hAnsiTheme="majorBidi" w:cstheme="majorBidi"/>
          <w:sz w:val="22"/>
          <w:szCs w:val="22"/>
        </w:rPr>
        <w:t xml:space="preserve"> </w:t>
      </w:r>
      <w:r w:rsidR="001370BA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0.86 (t, 3H, C</w:t>
      </w:r>
      <w:r w:rsidR="001370BA" w:rsidRPr="00225529">
        <w:rPr>
          <w:rStyle w:val="fontstyle31"/>
          <w:rFonts w:asciiTheme="majorBidi" w:hAnsiTheme="majorBidi" w:cstheme="majorBidi"/>
          <w:color w:val="auto"/>
          <w:sz w:val="22"/>
          <w:szCs w:val="22"/>
        </w:rPr>
        <w:t>H</w:t>
      </w:r>
      <w:r w:rsidR="001370BA" w:rsidRPr="00225529">
        <w:rPr>
          <w:rStyle w:val="fontstyle01"/>
          <w:rFonts w:asciiTheme="majorBidi" w:hAnsiTheme="majorBidi" w:cstheme="majorBidi"/>
          <w:color w:val="auto"/>
          <w:sz w:val="22"/>
          <w:szCs w:val="22"/>
          <w:vertAlign w:val="subscript"/>
        </w:rPr>
        <w:t>3</w:t>
      </w:r>
      <w:r w:rsidR="001370BA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CH</w:t>
      </w:r>
      <w:r w:rsidR="001370BA" w:rsidRPr="00225529">
        <w:rPr>
          <w:rStyle w:val="fontstyle01"/>
          <w:rFonts w:asciiTheme="majorBidi" w:hAnsiTheme="majorBidi" w:cstheme="majorBidi"/>
          <w:color w:val="auto"/>
          <w:sz w:val="22"/>
          <w:szCs w:val="22"/>
          <w:vertAlign w:val="subscript"/>
        </w:rPr>
        <w:t>2</w:t>
      </w:r>
      <w:r w:rsidR="001370BA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); 1.28 (s, 18H, (C</w:t>
      </w:r>
      <w:r w:rsidR="001370BA" w:rsidRPr="00225529">
        <w:rPr>
          <w:rStyle w:val="fontstyle31"/>
          <w:rFonts w:asciiTheme="majorBidi" w:hAnsiTheme="majorBidi" w:cstheme="majorBidi"/>
          <w:color w:val="auto"/>
          <w:sz w:val="22"/>
          <w:szCs w:val="22"/>
        </w:rPr>
        <w:t>H</w:t>
      </w:r>
      <w:r w:rsidR="001370BA" w:rsidRPr="00225529">
        <w:rPr>
          <w:rStyle w:val="fontstyle01"/>
          <w:rFonts w:asciiTheme="majorBidi" w:hAnsiTheme="majorBidi" w:cstheme="majorBidi"/>
          <w:color w:val="auto"/>
          <w:sz w:val="22"/>
          <w:szCs w:val="22"/>
          <w:vertAlign w:val="subscript"/>
        </w:rPr>
        <w:t>2</w:t>
      </w:r>
      <w:r w:rsidR="001370BA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)</w:t>
      </w:r>
      <w:r w:rsidR="001370BA" w:rsidRPr="00225529">
        <w:rPr>
          <w:rStyle w:val="fontstyle01"/>
          <w:rFonts w:asciiTheme="majorBidi" w:hAnsiTheme="majorBidi" w:cstheme="majorBidi"/>
          <w:color w:val="auto"/>
          <w:sz w:val="22"/>
          <w:szCs w:val="22"/>
          <w:vertAlign w:val="subscript"/>
        </w:rPr>
        <w:t>6</w:t>
      </w:r>
      <w:r w:rsidR="001370BA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); 1.71 (m, 2H. C</w:t>
      </w:r>
      <w:r w:rsidR="001370BA" w:rsidRPr="00225529">
        <w:rPr>
          <w:rStyle w:val="fontstyle31"/>
          <w:rFonts w:asciiTheme="majorBidi" w:hAnsiTheme="majorBidi" w:cstheme="majorBidi"/>
          <w:color w:val="auto"/>
          <w:sz w:val="22"/>
          <w:szCs w:val="22"/>
        </w:rPr>
        <w:t>H</w:t>
      </w:r>
      <w:r w:rsidR="001370BA" w:rsidRPr="00225529">
        <w:rPr>
          <w:rStyle w:val="fontstyle01"/>
          <w:rFonts w:asciiTheme="majorBidi" w:hAnsiTheme="majorBidi" w:cstheme="majorBidi"/>
          <w:color w:val="auto"/>
          <w:sz w:val="22"/>
          <w:szCs w:val="22"/>
          <w:vertAlign w:val="subscript"/>
        </w:rPr>
        <w:t>2</w:t>
      </w:r>
      <w:r w:rsidR="001370BA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CH</w:t>
      </w:r>
      <w:r w:rsidR="001370BA" w:rsidRPr="00225529">
        <w:rPr>
          <w:rStyle w:val="fontstyle01"/>
          <w:rFonts w:asciiTheme="majorBidi" w:hAnsiTheme="majorBidi" w:cstheme="majorBidi"/>
          <w:color w:val="auto"/>
          <w:sz w:val="22"/>
          <w:szCs w:val="22"/>
          <w:vertAlign w:val="subscript"/>
        </w:rPr>
        <w:t>2</w:t>
      </w:r>
      <w:r w:rsidR="001370BA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S); 3.40 (t, 2H,</w:t>
      </w:r>
      <w:r w:rsidR="00097B89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="001370BA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CH</w:t>
      </w:r>
      <w:r w:rsidR="001370BA" w:rsidRPr="00225529">
        <w:rPr>
          <w:rStyle w:val="fontstyle01"/>
          <w:rFonts w:asciiTheme="majorBidi" w:hAnsiTheme="majorBidi" w:cstheme="majorBidi"/>
          <w:color w:val="auto"/>
          <w:sz w:val="22"/>
          <w:szCs w:val="22"/>
          <w:vertAlign w:val="subscript"/>
        </w:rPr>
        <w:t>2</w:t>
      </w:r>
      <w:r w:rsidR="001370BA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C</w:t>
      </w:r>
      <w:r w:rsidR="001370BA" w:rsidRPr="00225529">
        <w:rPr>
          <w:rStyle w:val="fontstyle31"/>
          <w:rFonts w:asciiTheme="majorBidi" w:hAnsiTheme="majorBidi" w:cstheme="majorBidi"/>
          <w:color w:val="auto"/>
          <w:sz w:val="22"/>
          <w:szCs w:val="22"/>
        </w:rPr>
        <w:t>H</w:t>
      </w:r>
      <w:r w:rsidR="001370BA" w:rsidRPr="00225529">
        <w:rPr>
          <w:rStyle w:val="fontstyle01"/>
          <w:rFonts w:asciiTheme="majorBidi" w:hAnsiTheme="majorBidi" w:cstheme="majorBidi"/>
          <w:color w:val="auto"/>
          <w:sz w:val="22"/>
          <w:szCs w:val="22"/>
          <w:vertAlign w:val="subscript"/>
        </w:rPr>
        <w:t>2</w:t>
      </w:r>
      <w:r w:rsidR="001370BA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S); 4.15 (s, 2H, (CN)C</w:t>
      </w:r>
      <w:r w:rsidR="001370BA" w:rsidRPr="00225529">
        <w:rPr>
          <w:rStyle w:val="fontstyle31"/>
          <w:rFonts w:asciiTheme="majorBidi" w:hAnsiTheme="majorBidi" w:cstheme="majorBidi"/>
          <w:color w:val="auto"/>
          <w:sz w:val="22"/>
          <w:szCs w:val="22"/>
        </w:rPr>
        <w:t>H</w:t>
      </w:r>
      <w:r w:rsidR="001370BA" w:rsidRPr="00225529">
        <w:rPr>
          <w:rStyle w:val="fontstyle01"/>
          <w:rFonts w:asciiTheme="majorBidi" w:hAnsiTheme="majorBidi" w:cstheme="majorBidi"/>
          <w:color w:val="auto"/>
          <w:sz w:val="22"/>
          <w:szCs w:val="22"/>
          <w:vertAlign w:val="subscript"/>
        </w:rPr>
        <w:t>2</w:t>
      </w:r>
      <w:r w:rsidR="001370BA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S).</w:t>
      </w:r>
    </w:p>
    <w:p w14:paraId="372DFAD9" w14:textId="77777777" w:rsidR="00FB2C25" w:rsidRPr="00225529" w:rsidRDefault="00EE1D68" w:rsidP="009150CB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lang w:bidi="fa-IR"/>
        </w:rPr>
      </w:pPr>
      <w:r w:rsidRPr="00225529">
        <w:rPr>
          <w:rFonts w:asciiTheme="majorBidi" w:hAnsiTheme="majorBidi" w:cstheme="majorBidi"/>
          <w:noProof/>
        </w:rPr>
        <w:drawing>
          <wp:inline distT="0" distB="0" distL="0" distR="0" wp14:anchorId="5352728E" wp14:editId="1D01A38E">
            <wp:extent cx="2958798" cy="3236976"/>
            <wp:effectExtent l="0" t="0" r="0" b="1905"/>
            <wp:docPr id="11" name="Picture 11" descr="E:\Elmira Khaksar\Thesis\Paper 2 elmira\ft-ir\CMDTT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Elmira Khaksar\Thesis\Paper 2 elmira\ft-ir\CMDTTC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798" cy="323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D3803" w14:textId="77777777" w:rsidR="00D6051F" w:rsidRPr="00225529" w:rsidRDefault="00D6051F" w:rsidP="009150CB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b/>
          <w:bCs/>
        </w:rPr>
      </w:pPr>
      <w:r w:rsidRPr="00225529">
        <w:rPr>
          <w:rFonts w:asciiTheme="majorBidi" w:hAnsiTheme="majorBidi" w:cstheme="majorBidi"/>
          <w:b/>
          <w:bCs/>
        </w:rPr>
        <w:t>Figure S</w:t>
      </w:r>
      <w:r w:rsidR="00850DD7" w:rsidRPr="00225529">
        <w:rPr>
          <w:rFonts w:asciiTheme="majorBidi" w:hAnsiTheme="majorBidi" w:cstheme="majorBidi"/>
          <w:b/>
          <w:bCs/>
        </w:rPr>
        <w:t>1</w:t>
      </w:r>
      <w:r w:rsidRPr="00225529">
        <w:rPr>
          <w:rFonts w:asciiTheme="majorBidi" w:hAnsiTheme="majorBidi" w:cstheme="majorBidi"/>
          <w:b/>
          <w:bCs/>
        </w:rPr>
        <w:t>. FT-IR spectra of CMDTTC</w:t>
      </w:r>
    </w:p>
    <w:p w14:paraId="025ABB7D" w14:textId="77777777" w:rsidR="00D6051F" w:rsidRPr="00225529" w:rsidRDefault="00BE4F19" w:rsidP="009150CB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lang w:bidi="fa-IR"/>
        </w:rPr>
      </w:pPr>
      <w:r w:rsidRPr="00225529">
        <w:rPr>
          <w:rFonts w:asciiTheme="majorBidi" w:hAnsiTheme="majorBidi" w:cstheme="majorBidi"/>
          <w:noProof/>
        </w:rPr>
        <w:drawing>
          <wp:inline distT="0" distB="0" distL="0" distR="0" wp14:anchorId="62EC3CA0" wp14:editId="1BDEAF40">
            <wp:extent cx="5646419" cy="3017520"/>
            <wp:effectExtent l="0" t="0" r="0" b="0"/>
            <wp:docPr id="1" name="Picture 1" descr="E:\Elmira Khaksar\Thesis\Paper 2 elmira\HNMR,CNMR RAFT agent (CMDTTC)\CNMR&amp;HNMR CMDTT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Elmira Khaksar\Thesis\Paper 2 elmira\HNMR,CNMR RAFT agent (CMDTTC)\CNMR&amp;HNMR CMDTTC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19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74934" w14:textId="77777777" w:rsidR="003F41A2" w:rsidRPr="00225529" w:rsidRDefault="003F41A2" w:rsidP="009150CB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lang w:bidi="fa-IR"/>
        </w:rPr>
      </w:pPr>
    </w:p>
    <w:p w14:paraId="772042D4" w14:textId="2378C93A" w:rsidR="00323BCD" w:rsidRPr="00225529" w:rsidRDefault="003F41A2" w:rsidP="009150CB">
      <w:pPr>
        <w:autoSpaceDE w:val="0"/>
        <w:autoSpaceDN w:val="0"/>
        <w:adjustRightInd w:val="0"/>
        <w:spacing w:after="0" w:line="480" w:lineRule="auto"/>
        <w:jc w:val="center"/>
        <w:rPr>
          <w:rFonts w:asciiTheme="minorBidi" w:hAnsiTheme="minorBidi"/>
          <w:b/>
          <w:bCs/>
          <w:sz w:val="18"/>
          <w:szCs w:val="18"/>
        </w:rPr>
      </w:pPr>
      <w:r w:rsidRPr="00225529">
        <w:rPr>
          <w:rFonts w:asciiTheme="minorBidi" w:hAnsiTheme="minorBidi"/>
          <w:b/>
          <w:bCs/>
          <w:sz w:val="18"/>
          <w:szCs w:val="18"/>
        </w:rPr>
        <w:t>Figure S</w:t>
      </w:r>
      <w:r w:rsidR="00850DD7" w:rsidRPr="00225529">
        <w:rPr>
          <w:rFonts w:asciiTheme="minorBidi" w:hAnsiTheme="minorBidi"/>
          <w:b/>
          <w:bCs/>
          <w:sz w:val="18"/>
          <w:szCs w:val="18"/>
        </w:rPr>
        <w:t>2</w:t>
      </w:r>
      <w:r w:rsidRPr="00225529">
        <w:rPr>
          <w:rFonts w:asciiTheme="minorBidi" w:hAnsiTheme="minorBidi"/>
          <w:b/>
          <w:bCs/>
          <w:sz w:val="18"/>
          <w:szCs w:val="18"/>
        </w:rPr>
        <w:t xml:space="preserve">. </w:t>
      </w:r>
      <w:r w:rsidR="00B51B27" w:rsidRPr="00225529">
        <w:rPr>
          <w:rFonts w:asciiTheme="minorBidi" w:hAnsiTheme="minorBidi"/>
          <w:sz w:val="18"/>
          <w:szCs w:val="18"/>
        </w:rPr>
        <w:t>(A)</w:t>
      </w:r>
      <w:r w:rsidR="00924445" w:rsidRPr="00225529">
        <w:rPr>
          <w:rFonts w:asciiTheme="minorBidi" w:hAnsiTheme="minorBidi"/>
          <w:sz w:val="18"/>
          <w:szCs w:val="18"/>
        </w:rPr>
        <w:t xml:space="preserve"> </w:t>
      </w:r>
      <w:r w:rsidRPr="00225529">
        <w:rPr>
          <w:rFonts w:asciiTheme="minorBidi" w:hAnsiTheme="minorBidi"/>
          <w:sz w:val="18"/>
          <w:szCs w:val="18"/>
          <w:vertAlign w:val="superscript"/>
        </w:rPr>
        <w:t>1</w:t>
      </w:r>
      <w:r w:rsidRPr="00225529">
        <w:rPr>
          <w:rFonts w:asciiTheme="minorBidi" w:hAnsiTheme="minorBidi"/>
          <w:sz w:val="18"/>
          <w:szCs w:val="18"/>
        </w:rPr>
        <w:t>H NMR</w:t>
      </w:r>
      <w:r w:rsidR="00017F4B" w:rsidRPr="00225529">
        <w:rPr>
          <w:rFonts w:asciiTheme="minorBidi" w:hAnsiTheme="minorBidi"/>
          <w:sz w:val="18"/>
          <w:szCs w:val="18"/>
        </w:rPr>
        <w:t xml:space="preserve"> and </w:t>
      </w:r>
      <w:r w:rsidR="00B51B27" w:rsidRPr="00225529">
        <w:rPr>
          <w:rFonts w:asciiTheme="minorBidi" w:hAnsiTheme="minorBidi"/>
          <w:sz w:val="18"/>
          <w:szCs w:val="18"/>
        </w:rPr>
        <w:t>(B)</w:t>
      </w:r>
      <w:r w:rsidR="00924445" w:rsidRPr="00225529">
        <w:rPr>
          <w:rFonts w:asciiTheme="minorBidi" w:hAnsiTheme="minorBidi"/>
          <w:sz w:val="18"/>
          <w:szCs w:val="18"/>
        </w:rPr>
        <w:t xml:space="preserve"> </w:t>
      </w:r>
      <w:r w:rsidR="00017F4B" w:rsidRPr="00225529">
        <w:rPr>
          <w:rFonts w:asciiTheme="minorBidi" w:hAnsiTheme="minorBidi"/>
          <w:sz w:val="18"/>
          <w:szCs w:val="18"/>
          <w:vertAlign w:val="superscript"/>
        </w:rPr>
        <w:t>13</w:t>
      </w:r>
      <w:r w:rsidR="00017F4B" w:rsidRPr="00225529">
        <w:rPr>
          <w:rFonts w:asciiTheme="minorBidi" w:hAnsiTheme="minorBidi"/>
          <w:sz w:val="18"/>
          <w:szCs w:val="18"/>
        </w:rPr>
        <w:t>C</w:t>
      </w:r>
      <w:r w:rsidR="00400CC5" w:rsidRPr="00225529">
        <w:rPr>
          <w:rFonts w:asciiTheme="minorBidi" w:hAnsiTheme="minorBidi"/>
          <w:sz w:val="18"/>
          <w:szCs w:val="18"/>
        </w:rPr>
        <w:t xml:space="preserve"> </w:t>
      </w:r>
      <w:r w:rsidR="00017F4B" w:rsidRPr="00225529">
        <w:rPr>
          <w:rFonts w:asciiTheme="minorBidi" w:hAnsiTheme="minorBidi"/>
          <w:sz w:val="18"/>
          <w:szCs w:val="18"/>
        </w:rPr>
        <w:t>NMR</w:t>
      </w:r>
      <w:r w:rsidRPr="00225529">
        <w:rPr>
          <w:rFonts w:asciiTheme="minorBidi" w:hAnsiTheme="minorBidi"/>
          <w:sz w:val="18"/>
          <w:szCs w:val="18"/>
        </w:rPr>
        <w:t xml:space="preserve"> spectra of CMDTTC</w:t>
      </w:r>
      <w:r w:rsidR="00225529" w:rsidRPr="00225529">
        <w:rPr>
          <w:rFonts w:asciiTheme="minorBidi" w:hAnsiTheme="minorBidi"/>
          <w:sz w:val="18"/>
          <w:szCs w:val="18"/>
        </w:rPr>
        <w:t>.</w:t>
      </w:r>
    </w:p>
    <w:p w14:paraId="2BB0C85C" w14:textId="77777777" w:rsidR="00D2551B" w:rsidRPr="00225529" w:rsidRDefault="00D2551B" w:rsidP="009150CB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b/>
          <w:bCs/>
        </w:rPr>
      </w:pPr>
    </w:p>
    <w:p w14:paraId="38034950" w14:textId="77777777" w:rsidR="00FC7CBC" w:rsidRPr="00225529" w:rsidRDefault="00FC7CBC" w:rsidP="003178BC">
      <w:pPr>
        <w:pStyle w:val="Heading1INSFReport"/>
        <w:rPr>
          <w:rFonts w:asciiTheme="majorBidi" w:hAnsiTheme="majorBidi" w:cstheme="majorBidi"/>
          <w:sz w:val="22"/>
          <w:szCs w:val="22"/>
        </w:rPr>
      </w:pPr>
      <w:r w:rsidRPr="00225529">
        <w:rPr>
          <w:rFonts w:asciiTheme="majorBidi" w:hAnsiTheme="majorBidi" w:cstheme="majorBidi"/>
          <w:sz w:val="22"/>
          <w:szCs w:val="22"/>
        </w:rPr>
        <w:t>S</w:t>
      </w:r>
      <w:r w:rsidR="003178BC" w:rsidRPr="00225529">
        <w:rPr>
          <w:rFonts w:asciiTheme="majorBidi" w:hAnsiTheme="majorBidi" w:cstheme="majorBidi"/>
          <w:sz w:val="22"/>
          <w:szCs w:val="22"/>
        </w:rPr>
        <w:t>4</w:t>
      </w:r>
      <w:r w:rsidRPr="00225529">
        <w:rPr>
          <w:rFonts w:asciiTheme="majorBidi" w:hAnsiTheme="majorBidi" w:cstheme="majorBidi"/>
          <w:sz w:val="22"/>
          <w:szCs w:val="22"/>
        </w:rPr>
        <w:t>. Contact angle results</w:t>
      </w:r>
    </w:p>
    <w:p w14:paraId="71205E5F" w14:textId="77777777" w:rsidR="00D012FD" w:rsidRPr="00225529" w:rsidRDefault="00093698" w:rsidP="009150CB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b/>
          <w:bCs/>
        </w:rPr>
      </w:pPr>
      <w:r w:rsidRPr="00225529"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48F5FE05" wp14:editId="201EE281">
            <wp:extent cx="3562350" cy="2729343"/>
            <wp:effectExtent l="0" t="0" r="0" b="0"/>
            <wp:docPr id="3" name="Picture 3" descr="E:\Elmira Khaksar\Thesis\Contact angle\contact angl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lmira Khaksar\Thesis\Contact angle\contact angle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855" cy="273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15A54" w14:textId="00D917F5" w:rsidR="00BF3DF8" w:rsidRPr="00225529" w:rsidRDefault="00BF3DF8" w:rsidP="003178BC">
      <w:pPr>
        <w:autoSpaceDE w:val="0"/>
        <w:autoSpaceDN w:val="0"/>
        <w:adjustRightInd w:val="0"/>
        <w:spacing w:after="0" w:line="480" w:lineRule="auto"/>
        <w:jc w:val="center"/>
        <w:rPr>
          <w:rStyle w:val="fontstyle01"/>
          <w:rFonts w:asciiTheme="minorBidi" w:hAnsiTheme="minorBidi"/>
          <w:color w:val="auto"/>
          <w:sz w:val="18"/>
          <w:szCs w:val="18"/>
        </w:rPr>
      </w:pPr>
      <w:r w:rsidRPr="00225529">
        <w:rPr>
          <w:rFonts w:asciiTheme="minorBidi" w:hAnsiTheme="minorBidi"/>
          <w:b/>
          <w:bCs/>
          <w:sz w:val="18"/>
          <w:szCs w:val="18"/>
        </w:rPr>
        <w:t>Figure S</w:t>
      </w:r>
      <w:r w:rsidR="003178BC" w:rsidRPr="00225529">
        <w:rPr>
          <w:rFonts w:asciiTheme="minorBidi" w:hAnsiTheme="minorBidi"/>
          <w:b/>
          <w:bCs/>
          <w:sz w:val="18"/>
          <w:szCs w:val="18"/>
        </w:rPr>
        <w:t>3</w:t>
      </w:r>
      <w:r w:rsidRPr="00225529">
        <w:rPr>
          <w:rFonts w:asciiTheme="minorBidi" w:hAnsiTheme="minorBidi"/>
          <w:b/>
          <w:bCs/>
          <w:sz w:val="18"/>
          <w:szCs w:val="18"/>
        </w:rPr>
        <w:t xml:space="preserve">. </w:t>
      </w:r>
      <w:r w:rsidR="009C1BFD" w:rsidRPr="00225529">
        <w:rPr>
          <w:rStyle w:val="fontstyle01"/>
          <w:rFonts w:asciiTheme="minorBidi" w:hAnsiTheme="minorBidi"/>
          <w:color w:val="auto"/>
          <w:sz w:val="18"/>
          <w:szCs w:val="18"/>
        </w:rPr>
        <w:t>Contact angle between (</w:t>
      </w:r>
      <w:r w:rsidR="009C1BFD" w:rsidRPr="00225529">
        <w:rPr>
          <w:rStyle w:val="fontstyle21"/>
          <w:rFonts w:asciiTheme="minorBidi" w:hAnsiTheme="minorBidi"/>
          <w:color w:val="auto"/>
        </w:rPr>
        <w:t xml:space="preserve">a, b, c) </w:t>
      </w:r>
      <w:r w:rsidR="009C1BFD" w:rsidRPr="00225529">
        <w:rPr>
          <w:rStyle w:val="fontstyle01"/>
          <w:rFonts w:asciiTheme="minorBidi" w:hAnsiTheme="minorBidi"/>
          <w:color w:val="auto"/>
          <w:sz w:val="18"/>
          <w:szCs w:val="18"/>
        </w:rPr>
        <w:t>PANI, PS and, PAM and distilled water, (</w:t>
      </w:r>
      <w:r w:rsidR="009C1BFD" w:rsidRPr="00225529">
        <w:rPr>
          <w:rStyle w:val="fontstyle21"/>
          <w:rFonts w:asciiTheme="minorBidi" w:hAnsiTheme="minorBidi"/>
          <w:color w:val="auto"/>
        </w:rPr>
        <w:t xml:space="preserve">d, e, f) </w:t>
      </w:r>
      <w:r w:rsidR="009C1BFD" w:rsidRPr="00225529">
        <w:rPr>
          <w:rStyle w:val="fontstyle01"/>
          <w:rFonts w:asciiTheme="minorBidi" w:hAnsiTheme="minorBidi"/>
          <w:color w:val="auto"/>
          <w:sz w:val="18"/>
          <w:szCs w:val="18"/>
        </w:rPr>
        <w:t xml:space="preserve">PANI, PS, and, PMA and </w:t>
      </w:r>
      <w:r w:rsidR="00305AD7" w:rsidRPr="00225529">
        <w:rPr>
          <w:rStyle w:val="fontstyle01"/>
          <w:rFonts w:asciiTheme="minorBidi" w:hAnsiTheme="minorBidi"/>
          <w:color w:val="auto"/>
          <w:sz w:val="18"/>
          <w:szCs w:val="18"/>
        </w:rPr>
        <w:t>diiodomethane</w:t>
      </w:r>
      <w:r w:rsidR="00225529" w:rsidRPr="00225529">
        <w:rPr>
          <w:rStyle w:val="fontstyle01"/>
          <w:rFonts w:asciiTheme="minorBidi" w:hAnsiTheme="minorBidi"/>
          <w:color w:val="auto"/>
          <w:sz w:val="18"/>
          <w:szCs w:val="18"/>
        </w:rPr>
        <w:t>.</w:t>
      </w:r>
    </w:p>
    <w:p w14:paraId="5782E6B6" w14:textId="77777777" w:rsidR="005E05F2" w:rsidRPr="00225529" w:rsidRDefault="005E05F2" w:rsidP="00427715">
      <w:pPr>
        <w:autoSpaceDE w:val="0"/>
        <w:autoSpaceDN w:val="0"/>
        <w:adjustRightInd w:val="0"/>
        <w:spacing w:after="0" w:line="480" w:lineRule="auto"/>
        <w:jc w:val="center"/>
        <w:rPr>
          <w:rStyle w:val="fontstyle01"/>
          <w:rFonts w:asciiTheme="majorBidi" w:hAnsiTheme="majorBidi" w:cstheme="majorBidi"/>
          <w:b/>
          <w:bCs/>
          <w:color w:val="auto"/>
          <w:sz w:val="22"/>
          <w:szCs w:val="22"/>
        </w:rPr>
      </w:pPr>
    </w:p>
    <w:p w14:paraId="53D9B5AD" w14:textId="79A92F6C" w:rsidR="00AC461C" w:rsidRPr="00225529" w:rsidRDefault="00AC461C" w:rsidP="00225529">
      <w:pPr>
        <w:autoSpaceDE w:val="0"/>
        <w:autoSpaceDN w:val="0"/>
        <w:adjustRightInd w:val="0"/>
        <w:spacing w:after="0" w:line="480" w:lineRule="auto"/>
        <w:rPr>
          <w:rStyle w:val="fontstyle01"/>
          <w:rFonts w:asciiTheme="minorBidi" w:eastAsia="AdvOT999035f4" w:hAnsiTheme="minorBidi"/>
          <w:b/>
          <w:bCs/>
          <w:color w:val="auto"/>
          <w:sz w:val="18"/>
          <w:szCs w:val="18"/>
        </w:rPr>
      </w:pPr>
      <w:r w:rsidRPr="00225529">
        <w:rPr>
          <w:rFonts w:asciiTheme="minorBidi" w:eastAsia="AdvOT999035f4" w:hAnsiTheme="minorBidi"/>
          <w:b/>
          <w:bCs/>
          <w:sz w:val="18"/>
          <w:szCs w:val="18"/>
        </w:rPr>
        <w:t>Table S</w:t>
      </w:r>
      <w:r w:rsidR="00F40B1D" w:rsidRPr="00225529">
        <w:rPr>
          <w:rFonts w:asciiTheme="minorBidi" w:eastAsia="AdvOT999035f4" w:hAnsiTheme="minorBidi"/>
          <w:b/>
          <w:bCs/>
          <w:sz w:val="18"/>
          <w:szCs w:val="18"/>
        </w:rPr>
        <w:t>1</w:t>
      </w:r>
      <w:r w:rsidRPr="00225529">
        <w:rPr>
          <w:rFonts w:asciiTheme="minorBidi" w:eastAsia="AdvOT999035f4" w:hAnsiTheme="minorBidi"/>
          <w:b/>
          <w:bCs/>
          <w:sz w:val="18"/>
          <w:szCs w:val="18"/>
        </w:rPr>
        <w:t xml:space="preserve">. </w:t>
      </w:r>
      <w:r w:rsidR="00820E4E" w:rsidRPr="00225529">
        <w:rPr>
          <w:rFonts w:asciiTheme="minorBidi" w:hAnsiTheme="minorBidi"/>
          <w:sz w:val="18"/>
          <w:szCs w:val="18"/>
        </w:rPr>
        <w:t>Liquids</w:t>
      </w:r>
      <w:r w:rsidR="00820E4E" w:rsidRPr="00225529">
        <w:rPr>
          <w:rFonts w:asciiTheme="minorBidi" w:eastAsia="AdvOT999035f4" w:hAnsiTheme="minorBidi"/>
          <w:sz w:val="18"/>
          <w:szCs w:val="18"/>
        </w:rPr>
        <w:t xml:space="preserve"> and surface tension data</w:t>
      </w:r>
      <w:r w:rsidR="003903CD" w:rsidRPr="00225529">
        <w:rPr>
          <w:rFonts w:asciiTheme="minorBidi" w:eastAsia="AdvOT999035f4" w:hAnsiTheme="minorBidi"/>
          <w:sz w:val="18"/>
          <w:szCs w:val="18"/>
        </w:rPr>
        <w:t xml:space="preserve"> </w:t>
      </w:r>
      <w:r w:rsidR="003903CD" w:rsidRPr="00225529">
        <w:rPr>
          <w:rFonts w:asciiTheme="minorBidi" w:hAnsiTheme="minorBidi"/>
          <w:sz w:val="18"/>
          <w:szCs w:val="18"/>
        </w:rPr>
        <w:t>(mN/m)</w:t>
      </w:r>
      <w:r w:rsidR="00225529" w:rsidRPr="00225529">
        <w:rPr>
          <w:rFonts w:asciiTheme="minorBidi" w:hAnsiTheme="minorBidi"/>
          <w:sz w:val="18"/>
          <w:szCs w:val="18"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1829"/>
        <w:gridCol w:w="1070"/>
        <w:gridCol w:w="2076"/>
      </w:tblGrid>
      <w:tr w:rsidR="00D1145A" w:rsidRPr="00225529" w14:paraId="5F2F1E8A" w14:textId="77777777" w:rsidTr="0035228F">
        <w:trPr>
          <w:jc w:val="center"/>
        </w:trPr>
        <w:tc>
          <w:tcPr>
            <w:tcW w:w="1417" w:type="dxa"/>
          </w:tcPr>
          <w:p w14:paraId="621B8B5B" w14:textId="77777777" w:rsidR="0035228F" w:rsidRPr="00225529" w:rsidRDefault="0035228F" w:rsidP="009150CB">
            <w:pPr>
              <w:tabs>
                <w:tab w:val="left" w:pos="4125"/>
              </w:tabs>
              <w:spacing w:line="48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22552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γ</w:t>
            </w:r>
            <w:r w:rsidRPr="00225529">
              <w:rPr>
                <w:rFonts w:asciiTheme="minorBidi" w:hAnsiTheme="minorBidi"/>
                <w:b/>
                <w:bCs/>
                <w:sz w:val="16"/>
                <w:szCs w:val="16"/>
                <w:vertAlign w:val="subscript"/>
              </w:rPr>
              <w:t>L</w:t>
            </w:r>
          </w:p>
        </w:tc>
        <w:tc>
          <w:tcPr>
            <w:tcW w:w="1829" w:type="dxa"/>
          </w:tcPr>
          <w:p w14:paraId="55BE1645" w14:textId="77777777" w:rsidR="0035228F" w:rsidRPr="00225529" w:rsidRDefault="0035228F" w:rsidP="009150CB">
            <w:pPr>
              <w:tabs>
                <w:tab w:val="left" w:pos="4125"/>
              </w:tabs>
              <w:spacing w:line="48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22552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γ</w:t>
            </w:r>
            <w:r w:rsidRPr="00225529">
              <w:rPr>
                <w:rFonts w:asciiTheme="minorBidi" w:hAnsiTheme="minorBidi"/>
                <w:b/>
                <w:bCs/>
                <w:sz w:val="16"/>
                <w:szCs w:val="16"/>
                <w:vertAlign w:val="subscript"/>
              </w:rPr>
              <w:t>L</w:t>
            </w:r>
            <w:r w:rsidRPr="00225529">
              <w:rPr>
                <w:rFonts w:asciiTheme="minorBidi" w:hAnsiTheme="minorBidi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1070" w:type="dxa"/>
          </w:tcPr>
          <w:p w14:paraId="78694AB3" w14:textId="77777777" w:rsidR="0035228F" w:rsidRPr="00225529" w:rsidRDefault="0035228F" w:rsidP="009150CB">
            <w:pPr>
              <w:tabs>
                <w:tab w:val="left" w:pos="4125"/>
              </w:tabs>
              <w:spacing w:line="48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22552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γ</w:t>
            </w:r>
            <w:r w:rsidRPr="00225529">
              <w:rPr>
                <w:rFonts w:asciiTheme="minorBidi" w:hAnsiTheme="minorBidi"/>
                <w:b/>
                <w:bCs/>
                <w:sz w:val="16"/>
                <w:szCs w:val="16"/>
                <w:vertAlign w:val="subscript"/>
              </w:rPr>
              <w:t>L</w:t>
            </w:r>
            <w:r w:rsidRPr="00225529">
              <w:rPr>
                <w:rFonts w:asciiTheme="minorBidi" w:hAnsiTheme="minorBidi"/>
                <w:b/>
                <w:bCs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2076" w:type="dxa"/>
          </w:tcPr>
          <w:p w14:paraId="7A63BBF8" w14:textId="77777777" w:rsidR="0035228F" w:rsidRPr="00225529" w:rsidRDefault="00820E4E" w:rsidP="00225529">
            <w:pPr>
              <w:tabs>
                <w:tab w:val="left" w:pos="4125"/>
              </w:tabs>
              <w:spacing w:line="48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225529">
              <w:rPr>
                <w:rFonts w:asciiTheme="minorBidi" w:hAnsiTheme="minorBidi"/>
                <w:b/>
                <w:bCs/>
                <w:sz w:val="16"/>
                <w:szCs w:val="16"/>
              </w:rPr>
              <w:t>L</w:t>
            </w:r>
            <w:r w:rsidR="0035228F" w:rsidRPr="00225529">
              <w:rPr>
                <w:rFonts w:asciiTheme="minorBidi" w:hAnsiTheme="minorBidi"/>
                <w:b/>
                <w:bCs/>
                <w:sz w:val="16"/>
                <w:szCs w:val="16"/>
              </w:rPr>
              <w:t>iquids</w:t>
            </w:r>
          </w:p>
        </w:tc>
      </w:tr>
      <w:tr w:rsidR="00D1145A" w:rsidRPr="00225529" w14:paraId="62C9532F" w14:textId="77777777" w:rsidTr="0035228F">
        <w:trPr>
          <w:jc w:val="center"/>
        </w:trPr>
        <w:tc>
          <w:tcPr>
            <w:tcW w:w="1417" w:type="dxa"/>
          </w:tcPr>
          <w:p w14:paraId="2DB3814E" w14:textId="77777777" w:rsidR="0035228F" w:rsidRPr="00225529" w:rsidRDefault="00096CA4" w:rsidP="009150CB">
            <w:pPr>
              <w:tabs>
                <w:tab w:val="left" w:pos="4125"/>
              </w:tabs>
              <w:spacing w:line="48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25529">
              <w:rPr>
                <w:rFonts w:asciiTheme="minorBidi" w:hAnsiTheme="minorBidi"/>
                <w:sz w:val="16"/>
                <w:szCs w:val="16"/>
              </w:rPr>
              <w:t>72.8</w:t>
            </w:r>
          </w:p>
        </w:tc>
        <w:tc>
          <w:tcPr>
            <w:tcW w:w="1829" w:type="dxa"/>
          </w:tcPr>
          <w:p w14:paraId="5A7459C3" w14:textId="77777777" w:rsidR="0035228F" w:rsidRPr="00225529" w:rsidRDefault="00096CA4" w:rsidP="009150CB">
            <w:pPr>
              <w:tabs>
                <w:tab w:val="left" w:pos="4125"/>
              </w:tabs>
              <w:spacing w:line="48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25529">
              <w:rPr>
                <w:rFonts w:asciiTheme="minorBidi" w:hAnsiTheme="minorBidi"/>
                <w:sz w:val="16"/>
                <w:szCs w:val="16"/>
              </w:rPr>
              <w:t>51</w:t>
            </w:r>
          </w:p>
        </w:tc>
        <w:tc>
          <w:tcPr>
            <w:tcW w:w="1070" w:type="dxa"/>
          </w:tcPr>
          <w:p w14:paraId="3CA4722B" w14:textId="77777777" w:rsidR="0035228F" w:rsidRPr="00225529" w:rsidRDefault="00096CA4" w:rsidP="009150CB">
            <w:pPr>
              <w:tabs>
                <w:tab w:val="left" w:pos="4125"/>
              </w:tabs>
              <w:spacing w:line="48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25529">
              <w:rPr>
                <w:rFonts w:asciiTheme="minorBidi" w:hAnsiTheme="minorBidi"/>
                <w:sz w:val="16"/>
                <w:szCs w:val="16"/>
              </w:rPr>
              <w:t>21.8</w:t>
            </w:r>
          </w:p>
        </w:tc>
        <w:tc>
          <w:tcPr>
            <w:tcW w:w="2076" w:type="dxa"/>
          </w:tcPr>
          <w:p w14:paraId="0BBCBDC8" w14:textId="77777777" w:rsidR="0035228F" w:rsidRPr="00225529" w:rsidRDefault="0035228F" w:rsidP="00225529">
            <w:pPr>
              <w:tabs>
                <w:tab w:val="left" w:pos="4125"/>
              </w:tabs>
              <w:spacing w:line="48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225529">
              <w:rPr>
                <w:rFonts w:asciiTheme="minorBidi" w:hAnsiTheme="minorBidi"/>
                <w:b/>
                <w:bCs/>
                <w:sz w:val="16"/>
                <w:szCs w:val="16"/>
                <w:lang w:bidi="fa-IR"/>
              </w:rPr>
              <w:t>Distilled water</w:t>
            </w:r>
          </w:p>
        </w:tc>
      </w:tr>
      <w:tr w:rsidR="00D1145A" w:rsidRPr="00225529" w14:paraId="50FDF1FD" w14:textId="77777777" w:rsidTr="0035228F">
        <w:trPr>
          <w:jc w:val="center"/>
        </w:trPr>
        <w:tc>
          <w:tcPr>
            <w:tcW w:w="1417" w:type="dxa"/>
          </w:tcPr>
          <w:p w14:paraId="60890E62" w14:textId="77777777" w:rsidR="0035228F" w:rsidRPr="00225529" w:rsidRDefault="00096CA4" w:rsidP="009150CB">
            <w:pPr>
              <w:tabs>
                <w:tab w:val="left" w:pos="4125"/>
              </w:tabs>
              <w:spacing w:line="480" w:lineRule="auto"/>
              <w:jc w:val="center"/>
              <w:rPr>
                <w:rFonts w:asciiTheme="minorBidi" w:hAnsiTheme="minorBidi"/>
                <w:sz w:val="16"/>
                <w:szCs w:val="16"/>
                <w:rtl/>
                <w:lang w:bidi="fa-IR"/>
              </w:rPr>
            </w:pPr>
            <w:r w:rsidRPr="00225529">
              <w:rPr>
                <w:rFonts w:asciiTheme="minorBidi" w:hAnsiTheme="minorBidi"/>
                <w:sz w:val="16"/>
                <w:szCs w:val="16"/>
              </w:rPr>
              <w:t>50.8</w:t>
            </w:r>
          </w:p>
        </w:tc>
        <w:tc>
          <w:tcPr>
            <w:tcW w:w="1829" w:type="dxa"/>
          </w:tcPr>
          <w:p w14:paraId="04F9BD6A" w14:textId="77777777" w:rsidR="0035228F" w:rsidRPr="00225529" w:rsidRDefault="00096CA4" w:rsidP="009150CB">
            <w:pPr>
              <w:tabs>
                <w:tab w:val="left" w:pos="4125"/>
              </w:tabs>
              <w:spacing w:line="48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25529">
              <w:rPr>
                <w:rFonts w:asciiTheme="minorBidi" w:hAnsiTheme="minorBidi"/>
                <w:sz w:val="16"/>
                <w:szCs w:val="16"/>
              </w:rPr>
              <w:t>0.0</w:t>
            </w:r>
          </w:p>
        </w:tc>
        <w:tc>
          <w:tcPr>
            <w:tcW w:w="1070" w:type="dxa"/>
          </w:tcPr>
          <w:p w14:paraId="7BE44FFD" w14:textId="77777777" w:rsidR="0035228F" w:rsidRPr="00225529" w:rsidRDefault="00096CA4" w:rsidP="009150CB">
            <w:pPr>
              <w:tabs>
                <w:tab w:val="left" w:pos="4125"/>
              </w:tabs>
              <w:spacing w:line="48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25529">
              <w:rPr>
                <w:rFonts w:asciiTheme="minorBidi" w:hAnsiTheme="minorBidi"/>
                <w:sz w:val="16"/>
                <w:szCs w:val="16"/>
              </w:rPr>
              <w:t>50.8</w:t>
            </w:r>
          </w:p>
        </w:tc>
        <w:tc>
          <w:tcPr>
            <w:tcW w:w="2076" w:type="dxa"/>
          </w:tcPr>
          <w:p w14:paraId="00DD9DDE" w14:textId="77777777" w:rsidR="0035228F" w:rsidRPr="00225529" w:rsidRDefault="0035228F" w:rsidP="00225529">
            <w:pPr>
              <w:tabs>
                <w:tab w:val="left" w:pos="4125"/>
              </w:tabs>
              <w:spacing w:line="48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225529">
              <w:rPr>
                <w:rStyle w:val="fontstyle01"/>
                <w:rFonts w:asciiTheme="minorBidi" w:hAnsiTheme="minorBidi"/>
                <w:b/>
                <w:bCs/>
                <w:color w:val="auto"/>
              </w:rPr>
              <w:t>Diiodomethane</w:t>
            </w:r>
          </w:p>
        </w:tc>
      </w:tr>
    </w:tbl>
    <w:p w14:paraId="3939546C" w14:textId="77777777" w:rsidR="005468C2" w:rsidRPr="00225529" w:rsidRDefault="005468C2" w:rsidP="00DF1E7A">
      <w:pPr>
        <w:autoSpaceDE w:val="0"/>
        <w:autoSpaceDN w:val="0"/>
        <w:adjustRightInd w:val="0"/>
        <w:spacing w:after="0" w:line="480" w:lineRule="auto"/>
        <w:rPr>
          <w:rStyle w:val="fontstyle01"/>
          <w:rFonts w:asciiTheme="majorBidi" w:hAnsiTheme="majorBidi" w:cstheme="majorBidi"/>
          <w:b/>
          <w:bCs/>
          <w:color w:val="auto"/>
          <w:sz w:val="22"/>
          <w:szCs w:val="22"/>
        </w:rPr>
      </w:pPr>
    </w:p>
    <w:p w14:paraId="67688C8C" w14:textId="77777777" w:rsidR="00323BCD" w:rsidRPr="00225529" w:rsidRDefault="00323BCD" w:rsidP="009150CB">
      <w:pPr>
        <w:spacing w:after="0" w:line="480" w:lineRule="auto"/>
        <w:rPr>
          <w:rFonts w:asciiTheme="majorBidi" w:hAnsiTheme="majorBidi" w:cstheme="majorBidi"/>
          <w:b/>
          <w:bCs/>
        </w:rPr>
      </w:pPr>
      <w:r w:rsidRPr="00225529">
        <w:rPr>
          <w:rFonts w:asciiTheme="majorBidi" w:hAnsiTheme="majorBidi" w:cstheme="majorBidi"/>
          <w:b/>
          <w:bCs/>
        </w:rPr>
        <w:t>References</w:t>
      </w:r>
    </w:p>
    <w:p w14:paraId="30E4C47B" w14:textId="32CBB8F9" w:rsidR="00924445" w:rsidRPr="00225529" w:rsidRDefault="006C6E12" w:rsidP="00924445">
      <w:pPr>
        <w:spacing w:after="0" w:line="480" w:lineRule="auto"/>
        <w:jc w:val="both"/>
        <w:rPr>
          <w:rFonts w:asciiTheme="majorBidi" w:hAnsiTheme="majorBidi" w:cstheme="majorBidi"/>
        </w:rPr>
      </w:pPr>
      <w:r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[</w:t>
      </w:r>
      <w:r w:rsidR="00BD492A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S1</w:t>
      </w:r>
      <w:r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 xml:space="preserve">] </w:t>
      </w:r>
      <w:r w:rsidR="00DE5490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Chong</w:t>
      </w:r>
      <w:r w:rsid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 xml:space="preserve"> K</w:t>
      </w:r>
      <w:r w:rsidR="00DE5490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, Moad</w:t>
      </w:r>
      <w:r w:rsid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 xml:space="preserve"> G</w:t>
      </w:r>
      <w:r w:rsidR="00DE5490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, Rizzardo</w:t>
      </w:r>
      <w:r w:rsid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 xml:space="preserve"> E</w:t>
      </w:r>
      <w:r w:rsidR="00DE5490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, Thang</w:t>
      </w:r>
      <w:r w:rsid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 xml:space="preserve"> H (2007)</w:t>
      </w:r>
      <w:r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 xml:space="preserve"> </w:t>
      </w:r>
      <w:proofErr w:type="spellStart"/>
      <w:r w:rsidR="00DE5490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Thiocarbonylthio</w:t>
      </w:r>
      <w:proofErr w:type="spellEnd"/>
      <w:r w:rsidR="00DE5490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e</w:t>
      </w:r>
      <w:r w:rsidR="00DE5490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 xml:space="preserve">nd </w:t>
      </w:r>
      <w:r w:rsid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g</w:t>
      </w:r>
      <w:r w:rsidR="00DE5490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 xml:space="preserve">roup </w:t>
      </w:r>
      <w:r w:rsid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r</w:t>
      </w:r>
      <w:r w:rsidR="00DE5490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emoval from RAFT-</w:t>
      </w:r>
      <w:r w:rsid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s</w:t>
      </w:r>
      <w:r w:rsidR="00DE5490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ynthesized</w:t>
      </w:r>
      <w:r w:rsidR="00DE5490" w:rsidRPr="00225529">
        <w:rPr>
          <w:rFonts w:asciiTheme="majorBidi" w:hAnsiTheme="majorBidi" w:cstheme="majorBidi"/>
        </w:rPr>
        <w:t xml:space="preserve"> </w:t>
      </w:r>
      <w:r w:rsid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p</w:t>
      </w:r>
      <w:r w:rsidR="00DE5490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 xml:space="preserve">olymers by </w:t>
      </w:r>
      <w:r w:rsid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r</w:t>
      </w:r>
      <w:r w:rsidR="00DE5490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adical-</w:t>
      </w:r>
      <w:r w:rsid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i</w:t>
      </w:r>
      <w:r w:rsidR="00DE5490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 xml:space="preserve">nduced </w:t>
      </w:r>
      <w:r w:rsid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r</w:t>
      </w:r>
      <w:r w:rsidR="00DE5490"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eduction</w:t>
      </w:r>
      <w:r w:rsid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>.</w:t>
      </w:r>
      <w:r w:rsidRPr="00225529">
        <w:rPr>
          <w:rStyle w:val="fontstyle01"/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="00DE5490" w:rsidRPr="00225529">
        <w:rPr>
          <w:rFonts w:asciiTheme="majorBidi" w:hAnsiTheme="majorBidi" w:cstheme="majorBidi"/>
        </w:rPr>
        <w:t>Macromolecules</w:t>
      </w:r>
      <w:r w:rsidR="00225529">
        <w:rPr>
          <w:rFonts w:asciiTheme="majorBidi" w:hAnsiTheme="majorBidi" w:cstheme="majorBidi"/>
        </w:rPr>
        <w:t xml:space="preserve"> </w:t>
      </w:r>
      <w:r w:rsidR="00DE5490" w:rsidRPr="00225529">
        <w:rPr>
          <w:rFonts w:asciiTheme="majorBidi" w:hAnsiTheme="majorBidi" w:cstheme="majorBidi"/>
        </w:rPr>
        <w:t>40</w:t>
      </w:r>
      <w:r w:rsidR="00225529">
        <w:rPr>
          <w:rFonts w:asciiTheme="majorBidi" w:hAnsiTheme="majorBidi" w:cstheme="majorBidi"/>
        </w:rPr>
        <w:t>:</w:t>
      </w:r>
      <w:r w:rsidR="00DE5490" w:rsidRPr="00225529">
        <w:rPr>
          <w:rFonts w:asciiTheme="majorBidi" w:hAnsiTheme="majorBidi" w:cstheme="majorBidi"/>
        </w:rPr>
        <w:t xml:space="preserve"> 4446-4455 </w:t>
      </w:r>
      <w:hyperlink r:id="rId7" w:history="1">
        <w:r w:rsidR="00225529" w:rsidRPr="00DE45BF">
          <w:rPr>
            <w:rStyle w:val="Hyperlink"/>
            <w:rFonts w:asciiTheme="majorBidi" w:hAnsiTheme="majorBidi" w:cstheme="majorBidi"/>
          </w:rPr>
          <w:t>https://doi.org/10.1021/ma062919u</w:t>
        </w:r>
      </w:hyperlink>
      <w:r w:rsidR="00F40B1D" w:rsidRPr="00225529">
        <w:rPr>
          <w:rFonts w:asciiTheme="majorBidi" w:hAnsiTheme="majorBidi" w:cstheme="majorBidi"/>
        </w:rPr>
        <w:t>.</w:t>
      </w:r>
    </w:p>
    <w:sectPr w:rsidR="00924445" w:rsidRPr="00225529" w:rsidSect="000D3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b83ee1dd.B">
    <w:altName w:val="Times New Roman"/>
    <w:panose1 w:val="00000000000000000000"/>
    <w:charset w:val="00"/>
    <w:family w:val="roman"/>
    <w:notTrueType/>
    <w:pitch w:val="default"/>
  </w:font>
  <w:font w:name="AdvPTimesB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hemBats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999035f4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CD"/>
    <w:rsid w:val="00006753"/>
    <w:rsid w:val="000160D5"/>
    <w:rsid w:val="00017F4B"/>
    <w:rsid w:val="00024307"/>
    <w:rsid w:val="000252D9"/>
    <w:rsid w:val="00093698"/>
    <w:rsid w:val="00096CA4"/>
    <w:rsid w:val="00097B89"/>
    <w:rsid w:val="000A663E"/>
    <w:rsid w:val="000A78E1"/>
    <w:rsid w:val="000D386B"/>
    <w:rsid w:val="000E1BC3"/>
    <w:rsid w:val="001165BE"/>
    <w:rsid w:val="00130B5F"/>
    <w:rsid w:val="00132327"/>
    <w:rsid w:val="00134191"/>
    <w:rsid w:val="001370BA"/>
    <w:rsid w:val="00145024"/>
    <w:rsid w:val="00145D04"/>
    <w:rsid w:val="00147D99"/>
    <w:rsid w:val="00181801"/>
    <w:rsid w:val="00185538"/>
    <w:rsid w:val="0018598D"/>
    <w:rsid w:val="001A31C4"/>
    <w:rsid w:val="001A4F96"/>
    <w:rsid w:val="001B10DC"/>
    <w:rsid w:val="001B2A53"/>
    <w:rsid w:val="001C4277"/>
    <w:rsid w:val="001E2956"/>
    <w:rsid w:val="00207AC5"/>
    <w:rsid w:val="00225529"/>
    <w:rsid w:val="0023207A"/>
    <w:rsid w:val="00237C7F"/>
    <w:rsid w:val="00250C71"/>
    <w:rsid w:val="00266B83"/>
    <w:rsid w:val="00273BC3"/>
    <w:rsid w:val="00283591"/>
    <w:rsid w:val="002A5F48"/>
    <w:rsid w:val="002B106F"/>
    <w:rsid w:val="002D4362"/>
    <w:rsid w:val="002D47D8"/>
    <w:rsid w:val="002E5889"/>
    <w:rsid w:val="002F2DFD"/>
    <w:rsid w:val="002F5162"/>
    <w:rsid w:val="00304496"/>
    <w:rsid w:val="00305AD7"/>
    <w:rsid w:val="00306920"/>
    <w:rsid w:val="003133CB"/>
    <w:rsid w:val="0031457B"/>
    <w:rsid w:val="003178BC"/>
    <w:rsid w:val="00321F72"/>
    <w:rsid w:val="00323BCD"/>
    <w:rsid w:val="00325C39"/>
    <w:rsid w:val="00344906"/>
    <w:rsid w:val="00351E2A"/>
    <w:rsid w:val="0035228F"/>
    <w:rsid w:val="003715A3"/>
    <w:rsid w:val="00371DD9"/>
    <w:rsid w:val="003830D1"/>
    <w:rsid w:val="003903CD"/>
    <w:rsid w:val="00396165"/>
    <w:rsid w:val="003D74F6"/>
    <w:rsid w:val="003E27D2"/>
    <w:rsid w:val="003F41A2"/>
    <w:rsid w:val="003F5A36"/>
    <w:rsid w:val="003F7E03"/>
    <w:rsid w:val="00400CC5"/>
    <w:rsid w:val="00421C2D"/>
    <w:rsid w:val="00425421"/>
    <w:rsid w:val="00425F47"/>
    <w:rsid w:val="00427715"/>
    <w:rsid w:val="00435891"/>
    <w:rsid w:val="00460355"/>
    <w:rsid w:val="00471C52"/>
    <w:rsid w:val="004C0086"/>
    <w:rsid w:val="004C2AD2"/>
    <w:rsid w:val="004C558A"/>
    <w:rsid w:val="004E31D5"/>
    <w:rsid w:val="005104C4"/>
    <w:rsid w:val="00526E85"/>
    <w:rsid w:val="00532EFA"/>
    <w:rsid w:val="005468C2"/>
    <w:rsid w:val="00564B4C"/>
    <w:rsid w:val="00572FD5"/>
    <w:rsid w:val="00576764"/>
    <w:rsid w:val="00591C3A"/>
    <w:rsid w:val="005B6987"/>
    <w:rsid w:val="005C55EE"/>
    <w:rsid w:val="005E05F2"/>
    <w:rsid w:val="005E7724"/>
    <w:rsid w:val="005F2269"/>
    <w:rsid w:val="006062E2"/>
    <w:rsid w:val="0063686C"/>
    <w:rsid w:val="006453BD"/>
    <w:rsid w:val="00652BC9"/>
    <w:rsid w:val="0065562E"/>
    <w:rsid w:val="00663C14"/>
    <w:rsid w:val="006775DF"/>
    <w:rsid w:val="00680811"/>
    <w:rsid w:val="00685A39"/>
    <w:rsid w:val="00687B3B"/>
    <w:rsid w:val="00690B5D"/>
    <w:rsid w:val="00693622"/>
    <w:rsid w:val="006A611C"/>
    <w:rsid w:val="006B32FD"/>
    <w:rsid w:val="006C33CA"/>
    <w:rsid w:val="006C6E12"/>
    <w:rsid w:val="006D3C1C"/>
    <w:rsid w:val="006E7F6C"/>
    <w:rsid w:val="00724D9B"/>
    <w:rsid w:val="007307A7"/>
    <w:rsid w:val="007428F7"/>
    <w:rsid w:val="007564DD"/>
    <w:rsid w:val="00765BF6"/>
    <w:rsid w:val="007671DE"/>
    <w:rsid w:val="0077198F"/>
    <w:rsid w:val="00782AFA"/>
    <w:rsid w:val="00785CA8"/>
    <w:rsid w:val="007A567C"/>
    <w:rsid w:val="007A7335"/>
    <w:rsid w:val="007B0435"/>
    <w:rsid w:val="007C1943"/>
    <w:rsid w:val="007C473E"/>
    <w:rsid w:val="007D5533"/>
    <w:rsid w:val="007D700A"/>
    <w:rsid w:val="007E4BD8"/>
    <w:rsid w:val="007F69FE"/>
    <w:rsid w:val="008029C4"/>
    <w:rsid w:val="00803119"/>
    <w:rsid w:val="00814002"/>
    <w:rsid w:val="00820B17"/>
    <w:rsid w:val="00820E4E"/>
    <w:rsid w:val="008217F9"/>
    <w:rsid w:val="00850DD7"/>
    <w:rsid w:val="008916A6"/>
    <w:rsid w:val="008958F7"/>
    <w:rsid w:val="008A207C"/>
    <w:rsid w:val="008B290D"/>
    <w:rsid w:val="008E63C3"/>
    <w:rsid w:val="008F53AD"/>
    <w:rsid w:val="00905920"/>
    <w:rsid w:val="00911D52"/>
    <w:rsid w:val="009134AF"/>
    <w:rsid w:val="009150CB"/>
    <w:rsid w:val="00924445"/>
    <w:rsid w:val="009249C0"/>
    <w:rsid w:val="00930020"/>
    <w:rsid w:val="00935913"/>
    <w:rsid w:val="009379BD"/>
    <w:rsid w:val="0097450D"/>
    <w:rsid w:val="009906A4"/>
    <w:rsid w:val="009A33C0"/>
    <w:rsid w:val="009C0913"/>
    <w:rsid w:val="009C1BFD"/>
    <w:rsid w:val="009C3316"/>
    <w:rsid w:val="009D357B"/>
    <w:rsid w:val="009D7F2F"/>
    <w:rsid w:val="009E347B"/>
    <w:rsid w:val="009E55FC"/>
    <w:rsid w:val="009F5459"/>
    <w:rsid w:val="00A04E70"/>
    <w:rsid w:val="00A14A6B"/>
    <w:rsid w:val="00A14F65"/>
    <w:rsid w:val="00A272EB"/>
    <w:rsid w:val="00A366E5"/>
    <w:rsid w:val="00A66DE8"/>
    <w:rsid w:val="00A751C2"/>
    <w:rsid w:val="00A762AA"/>
    <w:rsid w:val="00A77F63"/>
    <w:rsid w:val="00A8583C"/>
    <w:rsid w:val="00AA0E41"/>
    <w:rsid w:val="00AC461C"/>
    <w:rsid w:val="00AE3F3F"/>
    <w:rsid w:val="00B01C7E"/>
    <w:rsid w:val="00B07245"/>
    <w:rsid w:val="00B12801"/>
    <w:rsid w:val="00B3448E"/>
    <w:rsid w:val="00B40086"/>
    <w:rsid w:val="00B41989"/>
    <w:rsid w:val="00B51B27"/>
    <w:rsid w:val="00B82950"/>
    <w:rsid w:val="00B96214"/>
    <w:rsid w:val="00B96F97"/>
    <w:rsid w:val="00BA4E41"/>
    <w:rsid w:val="00BC18B0"/>
    <w:rsid w:val="00BD2193"/>
    <w:rsid w:val="00BD492A"/>
    <w:rsid w:val="00BE0B0B"/>
    <w:rsid w:val="00BE4F19"/>
    <w:rsid w:val="00BE721C"/>
    <w:rsid w:val="00BF21AB"/>
    <w:rsid w:val="00BF3DF8"/>
    <w:rsid w:val="00BF640F"/>
    <w:rsid w:val="00BF73AB"/>
    <w:rsid w:val="00C05B92"/>
    <w:rsid w:val="00C116BD"/>
    <w:rsid w:val="00C27303"/>
    <w:rsid w:val="00C30631"/>
    <w:rsid w:val="00C464F4"/>
    <w:rsid w:val="00C83E58"/>
    <w:rsid w:val="00C9054B"/>
    <w:rsid w:val="00CD611D"/>
    <w:rsid w:val="00D012FD"/>
    <w:rsid w:val="00D05502"/>
    <w:rsid w:val="00D06056"/>
    <w:rsid w:val="00D068FA"/>
    <w:rsid w:val="00D1145A"/>
    <w:rsid w:val="00D2296D"/>
    <w:rsid w:val="00D2551B"/>
    <w:rsid w:val="00D31BEC"/>
    <w:rsid w:val="00D42112"/>
    <w:rsid w:val="00D4317A"/>
    <w:rsid w:val="00D50996"/>
    <w:rsid w:val="00D52F11"/>
    <w:rsid w:val="00D6051F"/>
    <w:rsid w:val="00D71296"/>
    <w:rsid w:val="00D75E41"/>
    <w:rsid w:val="00DA3188"/>
    <w:rsid w:val="00DA5F94"/>
    <w:rsid w:val="00DB576A"/>
    <w:rsid w:val="00DC4887"/>
    <w:rsid w:val="00DE46FA"/>
    <w:rsid w:val="00DE5490"/>
    <w:rsid w:val="00DE63FF"/>
    <w:rsid w:val="00DF1A79"/>
    <w:rsid w:val="00DF1E7A"/>
    <w:rsid w:val="00DF3B84"/>
    <w:rsid w:val="00DF3C9D"/>
    <w:rsid w:val="00E00213"/>
    <w:rsid w:val="00E0282C"/>
    <w:rsid w:val="00E10350"/>
    <w:rsid w:val="00E17E02"/>
    <w:rsid w:val="00E259CB"/>
    <w:rsid w:val="00E31E60"/>
    <w:rsid w:val="00E3244F"/>
    <w:rsid w:val="00E44B3B"/>
    <w:rsid w:val="00E600E8"/>
    <w:rsid w:val="00E82735"/>
    <w:rsid w:val="00EA4DA4"/>
    <w:rsid w:val="00EA578A"/>
    <w:rsid w:val="00EC73B4"/>
    <w:rsid w:val="00EE1D68"/>
    <w:rsid w:val="00EE7E0D"/>
    <w:rsid w:val="00EF5CF7"/>
    <w:rsid w:val="00EF64A0"/>
    <w:rsid w:val="00F042B5"/>
    <w:rsid w:val="00F168B2"/>
    <w:rsid w:val="00F171C5"/>
    <w:rsid w:val="00F330B4"/>
    <w:rsid w:val="00F40B1D"/>
    <w:rsid w:val="00F40F3C"/>
    <w:rsid w:val="00F44315"/>
    <w:rsid w:val="00F4621A"/>
    <w:rsid w:val="00F50AE1"/>
    <w:rsid w:val="00F54DF6"/>
    <w:rsid w:val="00F913D4"/>
    <w:rsid w:val="00FA33FD"/>
    <w:rsid w:val="00FA43FF"/>
    <w:rsid w:val="00FB020B"/>
    <w:rsid w:val="00FB2C25"/>
    <w:rsid w:val="00FC2644"/>
    <w:rsid w:val="00FC3EE7"/>
    <w:rsid w:val="00FC7CBC"/>
    <w:rsid w:val="00FF1C2F"/>
    <w:rsid w:val="00F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CE7A0"/>
  <w15:docId w15:val="{CE8EFF6F-E3D3-4E4F-B442-816ED61A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CD"/>
  </w:style>
  <w:style w:type="paragraph" w:styleId="Heading1">
    <w:name w:val="heading 1"/>
    <w:basedOn w:val="Normal"/>
    <w:next w:val="Normal"/>
    <w:link w:val="Heading1Char"/>
    <w:uiPriority w:val="9"/>
    <w:qFormat/>
    <w:rsid w:val="0073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A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C25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23BCD"/>
    <w:rPr>
      <w:rFonts w:ascii="AdvOTb83ee1dd.B" w:hAnsi="AdvOTb83ee1dd.B" w:hint="default"/>
      <w:b w:val="0"/>
      <w:bCs w:val="0"/>
      <w:i w:val="0"/>
      <w:iCs w:val="0"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323B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23BCD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BF3DF8"/>
    <w:rPr>
      <w:rFonts w:ascii="AdvPTimesB" w:hAnsi="AdvPTimesB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B2C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4">
    <w:name w:val="متن اصلی 14"/>
    <w:basedOn w:val="Normal"/>
    <w:link w:val="14Char"/>
    <w:qFormat/>
    <w:rsid w:val="00FB2C25"/>
    <w:pPr>
      <w:bidi/>
      <w:spacing w:after="120" w:line="360" w:lineRule="auto"/>
      <w:ind w:firstLine="397"/>
      <w:jc w:val="lowKashida"/>
    </w:pPr>
    <w:rPr>
      <w:rFonts w:ascii="Times New Roman" w:eastAsia="Times New Roman" w:hAnsi="Times New Roman" w:cs="B Nazanin"/>
      <w:sz w:val="24"/>
      <w:szCs w:val="28"/>
    </w:rPr>
  </w:style>
  <w:style w:type="character" w:customStyle="1" w:styleId="14Char">
    <w:name w:val="متن اصلی 14 Char"/>
    <w:link w:val="14"/>
    <w:rsid w:val="00FB2C25"/>
    <w:rPr>
      <w:rFonts w:ascii="Times New Roman" w:eastAsia="Times New Roman" w:hAnsi="Times New Roman" w:cs="B Nazanin"/>
      <w:sz w:val="24"/>
      <w:szCs w:val="28"/>
    </w:rPr>
  </w:style>
  <w:style w:type="character" w:customStyle="1" w:styleId="fontstyle31">
    <w:name w:val="fontstyle31"/>
    <w:basedOn w:val="DefaultParagraphFont"/>
    <w:rsid w:val="001370BA"/>
    <w:rPr>
      <w:rFonts w:ascii="Times-Bold" w:hAnsi="Times-Bold" w:hint="default"/>
      <w:b/>
      <w:bCs/>
      <w:i w:val="0"/>
      <w:iCs w:val="0"/>
      <w:color w:val="24202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60355"/>
    <w:rPr>
      <w:i/>
      <w:iCs/>
    </w:rPr>
  </w:style>
  <w:style w:type="paragraph" w:customStyle="1" w:styleId="Heading1INSFReport">
    <w:name w:val="Heading 1: INSF Report"/>
    <w:basedOn w:val="Heading1"/>
    <w:autoRedefine/>
    <w:qFormat/>
    <w:rsid w:val="007307A7"/>
    <w:pPr>
      <w:spacing w:before="0" w:line="480" w:lineRule="auto"/>
      <w:jc w:val="both"/>
    </w:pPr>
    <w:rPr>
      <w:rFonts w:ascii="Times New Roman" w:hAnsi="Times New Roman" w:cs="B Titr"/>
      <w:b/>
      <w:bCs/>
      <w:color w:val="auto"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73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41">
    <w:name w:val="fontstyle41"/>
    <w:basedOn w:val="DefaultParagraphFont"/>
    <w:rsid w:val="00DE5490"/>
    <w:rPr>
      <w:rFonts w:ascii="ChemBats2" w:hAnsi="ChemBats2" w:hint="default"/>
      <w:b w:val="0"/>
      <w:bCs w:val="0"/>
      <w:i w:val="0"/>
      <w:iCs w:val="0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2F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2F5162"/>
    <w:pPr>
      <w:tabs>
        <w:tab w:val="center" w:pos="4680"/>
        <w:tab w:val="right" w:pos="9360"/>
      </w:tabs>
      <w:autoSpaceDE w:val="0"/>
      <w:autoSpaceDN w:val="0"/>
      <w:adjustRightInd w:val="0"/>
      <w:spacing w:after="0" w:line="480" w:lineRule="auto"/>
      <w:jc w:val="both"/>
    </w:pPr>
    <w:rPr>
      <w:rFonts w:asciiTheme="majorBidi" w:eastAsia="Calibri" w:hAnsiTheme="majorBidi" w:cstheme="majorBidi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2F5162"/>
    <w:rPr>
      <w:rFonts w:asciiTheme="majorBidi" w:eastAsia="Calibri" w:hAnsiTheme="majorBidi" w:cstheme="majorBidi"/>
      <w:sz w:val="28"/>
      <w:szCs w:val="28"/>
    </w:rPr>
  </w:style>
  <w:style w:type="character" w:customStyle="1" w:styleId="fontstyle11">
    <w:name w:val="fontstyle11"/>
    <w:basedOn w:val="DefaultParagraphFont"/>
    <w:rsid w:val="002F516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020"/>
    <w:rPr>
      <w:rFonts w:ascii="Tahoma" w:hAnsi="Tahoma" w:cs="Tahoma"/>
      <w:sz w:val="16"/>
      <w:szCs w:val="16"/>
    </w:rPr>
  </w:style>
  <w:style w:type="paragraph" w:customStyle="1" w:styleId="Heading2INSFReport">
    <w:name w:val="Heading 2: INSF Report"/>
    <w:basedOn w:val="Heading2"/>
    <w:autoRedefine/>
    <w:qFormat/>
    <w:rsid w:val="00F50AE1"/>
    <w:pPr>
      <w:spacing w:before="0" w:line="480" w:lineRule="auto"/>
      <w:jc w:val="both"/>
    </w:pPr>
    <w:rPr>
      <w:rFonts w:asciiTheme="majorBidi" w:hAnsiTheme="majorBidi"/>
      <w:b/>
      <w:bCs/>
      <w:color w:val="auto"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A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Textmain">
    <w:name w:val="Body Text (main)"/>
    <w:basedOn w:val="Normal"/>
    <w:qFormat/>
    <w:rsid w:val="005E05F2"/>
    <w:pPr>
      <w:spacing w:after="0" w:line="480" w:lineRule="auto"/>
      <w:jc w:val="lowKashida"/>
    </w:pPr>
    <w:rPr>
      <w:rFonts w:ascii="Times New Roman" w:hAnsi="Times New Roman" w:cs="Times New Roman"/>
      <w:sz w:val="24"/>
      <w:szCs w:val="24"/>
      <w:lang w:val="en-GB" w:eastAsia="de-DE"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225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21/ma062919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Giganet</dc:creator>
  <cp:lastModifiedBy>leila</cp:lastModifiedBy>
  <cp:revision>24</cp:revision>
  <dcterms:created xsi:type="dcterms:W3CDTF">2023-01-29T09:52:00Z</dcterms:created>
  <dcterms:modified xsi:type="dcterms:W3CDTF">2023-03-27T07:03:00Z</dcterms:modified>
</cp:coreProperties>
</file>